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343" w:rsidRDefault="00724ABC">
      <w:pPr>
        <w:rPr>
          <w:rFonts w:ascii="Times New Roman" w:hAnsi="Times New Roman" w:cs="Times New Roman"/>
          <w:sz w:val="24"/>
          <w:szCs w:val="24"/>
          <w:lang w:val="en-CA"/>
        </w:rPr>
      </w:pPr>
      <w:r w:rsidRPr="00014F97">
        <w:rPr>
          <w:rFonts w:ascii="Times New Roman" w:hAnsi="Times New Roman" w:cs="Times New Roman"/>
          <w:sz w:val="24"/>
          <w:szCs w:val="24"/>
          <w:lang w:val="en-CA"/>
        </w:rPr>
        <w:t>Background:</w:t>
      </w:r>
      <w:r w:rsidR="002E6343">
        <w:rPr>
          <w:rFonts w:ascii="Times New Roman" w:hAnsi="Times New Roman" w:cs="Times New Roman"/>
          <w:sz w:val="24"/>
          <w:szCs w:val="24"/>
          <w:lang w:val="en-CA"/>
        </w:rPr>
        <w:t xml:space="preserve"> In 2013, Dr. Julie Macfarlane completed a national survey of non-lawyers who had represented themselves in court – self-represented litigants (SRLs).  This survey was one of the first of its kind because instead of surveying justice professionals (for example, lawyers and judges) on their estimates rates, outcomes, and costs for SRLs, it surveyed the court users themselves.  One of the major findings of the survey was that the justice system is so complex that SRLs are at a significant disadvantage, and even can cause increased costs for delays for other parties involved in legal disputes.  </w:t>
      </w:r>
    </w:p>
    <w:p w:rsidR="00350774" w:rsidRPr="00014F97" w:rsidRDefault="002E6343">
      <w:pPr>
        <w:rPr>
          <w:rFonts w:ascii="Times New Roman" w:hAnsi="Times New Roman" w:cs="Times New Roman"/>
          <w:sz w:val="24"/>
          <w:szCs w:val="24"/>
          <w:lang w:val="en-CA"/>
        </w:rPr>
      </w:pPr>
      <w:r>
        <w:rPr>
          <w:rFonts w:ascii="Times New Roman" w:hAnsi="Times New Roman" w:cs="Times New Roman"/>
          <w:sz w:val="24"/>
          <w:szCs w:val="24"/>
          <w:lang w:val="en-CA"/>
        </w:rPr>
        <w:t>In March 2018, the Sixth Annual Dean’s Forum on Access to Justice and Dispute Resolution at the College of Law, University of Saskatchewan, focused on the data deficit that the justice system is experiencing.  This data deficit, or justice metrics problem, is largely identifiable in the lack of a system-wide strategy for collecting, storing and analysing justice system usage data to inform best practices.  Other se</w:t>
      </w:r>
      <w:r w:rsidR="00B1150F">
        <w:rPr>
          <w:rFonts w:ascii="Times New Roman" w:hAnsi="Times New Roman" w:cs="Times New Roman"/>
          <w:sz w:val="24"/>
          <w:szCs w:val="24"/>
          <w:lang w:val="en-CA"/>
        </w:rPr>
        <w:t>ctors</w:t>
      </w:r>
      <w:r>
        <w:rPr>
          <w:rFonts w:ascii="Times New Roman" w:hAnsi="Times New Roman" w:cs="Times New Roman"/>
          <w:sz w:val="24"/>
          <w:szCs w:val="24"/>
          <w:lang w:val="en-CA"/>
        </w:rPr>
        <w:t xml:space="preserve"> are much more advanced in their ability to improve their systems by increasing the role that data can play.</w:t>
      </w:r>
      <w:r w:rsidR="00B1150F">
        <w:rPr>
          <w:rFonts w:ascii="Times New Roman" w:hAnsi="Times New Roman" w:cs="Times New Roman"/>
          <w:sz w:val="24"/>
          <w:szCs w:val="24"/>
          <w:lang w:val="en-CA"/>
        </w:rPr>
        <w:t xml:space="preserve">  The Canadian health sector, for example, has established the Canadian In</w:t>
      </w:r>
      <w:r w:rsidR="004D43A0">
        <w:rPr>
          <w:rFonts w:ascii="Times New Roman" w:hAnsi="Times New Roman" w:cs="Times New Roman"/>
          <w:sz w:val="24"/>
          <w:szCs w:val="24"/>
          <w:lang w:val="en-CA"/>
        </w:rPr>
        <w:t xml:space="preserve">stitute for Health Information (CIHI).  </w:t>
      </w:r>
      <w:r w:rsidR="004D43A0" w:rsidRPr="004D43A0">
        <w:rPr>
          <w:rFonts w:ascii="Times New Roman" w:hAnsi="Times New Roman" w:cs="Times New Roman"/>
          <w:sz w:val="24"/>
          <w:szCs w:val="24"/>
          <w:lang w:val="en-CA"/>
        </w:rPr>
        <w:t>CIHI is now the leading source of information about delivery and performance of health care in Canada.</w:t>
      </w:r>
      <w:r w:rsidR="004D43A0">
        <w:rPr>
          <w:rFonts w:ascii="Times New Roman" w:hAnsi="Times New Roman" w:cs="Times New Roman"/>
          <w:sz w:val="24"/>
          <w:szCs w:val="24"/>
          <w:vertAlign w:val="superscript"/>
          <w:lang w:val="en-CA"/>
        </w:rPr>
        <w:t>25</w:t>
      </w:r>
      <w:r w:rsidR="004D43A0" w:rsidRPr="004D43A0">
        <w:rPr>
          <w:rFonts w:ascii="Times New Roman" w:hAnsi="Times New Roman" w:cs="Times New Roman"/>
          <w:sz w:val="24"/>
          <w:szCs w:val="24"/>
          <w:lang w:val="en-CA"/>
        </w:rPr>
        <w:t xml:space="preserve">  It was reported in 2017</w:t>
      </w:r>
      <w:r w:rsidR="004D43A0">
        <w:rPr>
          <w:rFonts w:ascii="Times New Roman" w:hAnsi="Times New Roman" w:cs="Times New Roman"/>
          <w:sz w:val="24"/>
          <w:szCs w:val="24"/>
          <w:lang w:val="en-CA"/>
        </w:rPr>
        <w:t xml:space="preserve"> that it</w:t>
      </w:r>
      <w:r w:rsidR="004D43A0" w:rsidRPr="004D43A0">
        <w:rPr>
          <w:rFonts w:ascii="Times New Roman" w:hAnsi="Times New Roman" w:cs="Times New Roman"/>
          <w:sz w:val="24"/>
          <w:szCs w:val="24"/>
          <w:lang w:val="en-CA"/>
        </w:rPr>
        <w:t>s budget just exceeded $100 million.</w:t>
      </w:r>
      <w:r w:rsidR="004D43A0" w:rsidRPr="004D43A0">
        <w:rPr>
          <w:rFonts w:ascii="Times New Roman" w:hAnsi="Times New Roman" w:cs="Times New Roman"/>
          <w:sz w:val="24"/>
          <w:szCs w:val="24"/>
          <w:vertAlign w:val="superscript"/>
          <w:lang w:val="en-CA"/>
        </w:rPr>
        <w:t>26</w:t>
      </w:r>
      <w:r w:rsidR="004D43A0" w:rsidRPr="004D43A0">
        <w:rPr>
          <w:rFonts w:ascii="Times New Roman" w:hAnsi="Times New Roman" w:cs="Times New Roman"/>
          <w:sz w:val="24"/>
          <w:szCs w:val="24"/>
          <w:lang w:val="en-CA"/>
        </w:rPr>
        <w:t xml:space="preserve">  CIHI’s vision is to have better data and therefore better decisions and healthier Canadians.</w:t>
      </w:r>
      <w:r w:rsidR="004D43A0">
        <w:rPr>
          <w:rFonts w:ascii="Times New Roman" w:hAnsi="Times New Roman" w:cs="Times New Roman"/>
          <w:sz w:val="24"/>
          <w:szCs w:val="24"/>
          <w:vertAlign w:val="superscript"/>
          <w:lang w:val="en-CA"/>
        </w:rPr>
        <w:t>27</w:t>
      </w:r>
      <w:r w:rsidR="004D43A0" w:rsidRPr="004D43A0">
        <w:rPr>
          <w:rFonts w:ascii="Times New Roman" w:hAnsi="Times New Roman" w:cs="Times New Roman"/>
          <w:sz w:val="24"/>
          <w:szCs w:val="24"/>
          <w:lang w:val="en-CA"/>
        </w:rPr>
        <w:t xml:space="preserve">  Data is used to accelerate improvements in health care, health system performance and population health across Canada.</w:t>
      </w:r>
      <w:r w:rsidR="004D43A0">
        <w:rPr>
          <w:rFonts w:ascii="Times New Roman" w:hAnsi="Times New Roman" w:cs="Times New Roman"/>
          <w:sz w:val="24"/>
          <w:szCs w:val="24"/>
          <w:vertAlign w:val="superscript"/>
          <w:lang w:val="en-CA"/>
        </w:rPr>
        <w:t>28</w:t>
      </w:r>
      <w:r w:rsidR="004D43A0" w:rsidRPr="004D43A0">
        <w:rPr>
          <w:rFonts w:ascii="Times New Roman" w:hAnsi="Times New Roman" w:cs="Times New Roman"/>
          <w:sz w:val="24"/>
          <w:szCs w:val="24"/>
          <w:lang w:val="en-CA"/>
        </w:rPr>
        <w:t xml:space="preserve">  </w:t>
      </w:r>
    </w:p>
    <w:p w:rsidR="00781F28" w:rsidRPr="00014F97" w:rsidRDefault="00097803" w:rsidP="00781F28">
      <w:pPr>
        <w:rPr>
          <w:rFonts w:ascii="Times New Roman" w:hAnsi="Times New Roman" w:cs="Times New Roman"/>
          <w:sz w:val="24"/>
          <w:szCs w:val="24"/>
        </w:rPr>
      </w:pPr>
      <w:r w:rsidRPr="00014F97">
        <w:rPr>
          <w:rFonts w:ascii="Times New Roman" w:hAnsi="Times New Roman" w:cs="Times New Roman"/>
          <w:sz w:val="24"/>
          <w:szCs w:val="24"/>
          <w:lang w:val="en-CA"/>
        </w:rPr>
        <w:t xml:space="preserve">Court user surveys can be an effective tool for gathering data to improve the justice system.  </w:t>
      </w:r>
      <w:r w:rsidR="002E1F8D" w:rsidRPr="002E1F8D">
        <w:rPr>
          <w:rFonts w:ascii="Times New Roman" w:hAnsi="Times New Roman" w:cs="Times New Roman"/>
          <w:sz w:val="24"/>
          <w:szCs w:val="24"/>
          <w:lang w:val="en-CA"/>
        </w:rPr>
        <w:t>The national SRL survey was perhaps the first of its kind in Canada to survey actual court users.  However, in Australia, instead of being a one-off, surveys of this kind are much more common.</w:t>
      </w:r>
      <w:r w:rsidR="002E1F8D">
        <w:rPr>
          <w:rFonts w:ascii="Times New Roman" w:hAnsi="Times New Roman" w:cs="Times New Roman"/>
          <w:sz w:val="24"/>
          <w:szCs w:val="24"/>
        </w:rPr>
        <w:t xml:space="preserve">  </w:t>
      </w:r>
      <w:r w:rsidR="00781F28" w:rsidRPr="00014F97">
        <w:rPr>
          <w:rFonts w:ascii="Times New Roman" w:hAnsi="Times New Roman" w:cs="Times New Roman"/>
          <w:sz w:val="24"/>
          <w:szCs w:val="24"/>
          <w:lang w:val="en-CA"/>
        </w:rPr>
        <w:t xml:space="preserve">Concerns with increasing the role of data in access to justice initiatives include the novel privacy issues that could arise from collecting data directly from justice system users themselves, as opposed to collecting estimates from lawyers and judges, which is more common in Canada. Since court user surveys are more common in Australia, this research compares privacy legislation and existing case law from Saskatchewan, Canada and News South Wales, Australia, in order to predict by analogy possible future outcomes of privacy law concerning court user survey data.  </w:t>
      </w:r>
    </w:p>
    <w:p w:rsidR="00B714A1" w:rsidRDefault="000D31FB" w:rsidP="00B714A1">
      <w:pPr>
        <w:rPr>
          <w:rFonts w:ascii="Times New Roman" w:hAnsi="Times New Roman" w:cs="Times New Roman"/>
          <w:sz w:val="24"/>
          <w:szCs w:val="24"/>
          <w:lang w:val="en-CA"/>
        </w:rPr>
      </w:pPr>
      <w:r>
        <w:rPr>
          <w:rFonts w:ascii="Times New Roman" w:hAnsi="Times New Roman" w:cs="Times New Roman"/>
          <w:sz w:val="24"/>
          <w:szCs w:val="24"/>
          <w:lang w:val="en-CA"/>
        </w:rPr>
        <w:t xml:space="preserve">This research compares the Saskatchewan </w:t>
      </w:r>
      <w:r w:rsidRPr="000D31FB">
        <w:rPr>
          <w:rFonts w:ascii="Times New Roman" w:hAnsi="Times New Roman" w:cs="Times New Roman"/>
          <w:i/>
          <w:sz w:val="24"/>
          <w:szCs w:val="24"/>
          <w:lang w:val="en-CA"/>
        </w:rPr>
        <w:t>Freedom of Information and Protection of Privacy Act</w:t>
      </w:r>
      <w:r>
        <w:rPr>
          <w:rFonts w:ascii="Times New Roman" w:hAnsi="Times New Roman" w:cs="Times New Roman"/>
          <w:sz w:val="24"/>
          <w:szCs w:val="24"/>
          <w:lang w:val="en-CA"/>
        </w:rPr>
        <w:t xml:space="preserve"> and the New South Wales </w:t>
      </w:r>
      <w:r w:rsidRPr="000D31FB">
        <w:rPr>
          <w:rFonts w:ascii="Times New Roman" w:hAnsi="Times New Roman" w:cs="Times New Roman"/>
          <w:i/>
          <w:sz w:val="24"/>
          <w:szCs w:val="24"/>
          <w:lang w:val="en-CA"/>
        </w:rPr>
        <w:t>Government Information (Public Access) Act</w:t>
      </w:r>
      <w:r>
        <w:rPr>
          <w:rFonts w:ascii="Times New Roman" w:hAnsi="Times New Roman" w:cs="Times New Roman"/>
          <w:sz w:val="24"/>
          <w:szCs w:val="24"/>
          <w:lang w:val="en-CA"/>
        </w:rPr>
        <w:t xml:space="preserve">.  </w:t>
      </w:r>
      <w:r w:rsidR="00B714A1" w:rsidRPr="00014F97">
        <w:rPr>
          <w:rFonts w:ascii="Times New Roman" w:hAnsi="Times New Roman" w:cs="Times New Roman"/>
          <w:sz w:val="24"/>
          <w:szCs w:val="24"/>
          <w:lang w:val="en-CA"/>
        </w:rPr>
        <w:t>It should be noted that the relevant FIPPA provision is a protection of personal information provision, w</w:t>
      </w:r>
      <w:r w:rsidR="002E1F8D">
        <w:rPr>
          <w:rFonts w:ascii="Times New Roman" w:hAnsi="Times New Roman" w:cs="Times New Roman"/>
          <w:sz w:val="24"/>
          <w:szCs w:val="24"/>
          <w:lang w:val="en-CA"/>
        </w:rPr>
        <w:t xml:space="preserve">hereas the GIPA provision is a </w:t>
      </w:r>
      <w:r w:rsidR="00B714A1" w:rsidRPr="00014F97">
        <w:rPr>
          <w:rFonts w:ascii="Times New Roman" w:hAnsi="Times New Roman" w:cs="Times New Roman"/>
          <w:sz w:val="24"/>
          <w:szCs w:val="24"/>
          <w:lang w:val="en-CA"/>
        </w:rPr>
        <w:t>freedom of government information provision, so while the</w:t>
      </w:r>
      <w:r>
        <w:rPr>
          <w:rFonts w:ascii="Times New Roman" w:hAnsi="Times New Roman" w:cs="Times New Roman"/>
          <w:sz w:val="24"/>
          <w:szCs w:val="24"/>
          <w:lang w:val="en-CA"/>
        </w:rPr>
        <w:t xml:space="preserve">y both deal with disclosure of </w:t>
      </w:r>
      <w:r w:rsidR="00B714A1" w:rsidRPr="00014F97">
        <w:rPr>
          <w:rFonts w:ascii="Times New Roman" w:hAnsi="Times New Roman" w:cs="Times New Roman"/>
          <w:sz w:val="24"/>
          <w:szCs w:val="24"/>
          <w:lang w:val="en-CA"/>
        </w:rPr>
        <w:t>information from the government, they are not meant to be identical.</w:t>
      </w:r>
      <w:r>
        <w:rPr>
          <w:rFonts w:ascii="Times New Roman" w:hAnsi="Times New Roman" w:cs="Times New Roman"/>
          <w:sz w:val="24"/>
          <w:szCs w:val="24"/>
          <w:lang w:val="en-CA"/>
        </w:rPr>
        <w:t xml:space="preserve">  The two provisions which are compared deal with disclosure of information for either research or statistical purposes, or for the purpose of enhancing government accountability and contributing to informed debate on issues of public importance.  These could be relevant in identifying possible limits on public disclosure of information gathered by court user surveys.</w:t>
      </w:r>
    </w:p>
    <w:p w:rsidR="000D31FB" w:rsidRDefault="000D31FB" w:rsidP="00B714A1">
      <w:pPr>
        <w:rPr>
          <w:rFonts w:ascii="Times New Roman" w:hAnsi="Times New Roman" w:cs="Times New Roman"/>
          <w:sz w:val="24"/>
          <w:szCs w:val="24"/>
          <w:lang w:val="en-CA"/>
        </w:rPr>
      </w:pPr>
    </w:p>
    <w:p w:rsidR="000D31FB" w:rsidRPr="00014F97" w:rsidRDefault="000D31FB" w:rsidP="00B714A1">
      <w:pPr>
        <w:rPr>
          <w:rFonts w:ascii="Times New Roman" w:hAnsi="Times New Roman" w:cs="Times New Roman"/>
          <w:sz w:val="24"/>
          <w:szCs w:val="24"/>
        </w:rPr>
      </w:pPr>
      <w:bookmarkStart w:id="0" w:name="_GoBack"/>
      <w:bookmarkEnd w:id="0"/>
    </w:p>
    <w:p w:rsidR="00724ABC" w:rsidRPr="00014F97" w:rsidRDefault="00724ABC">
      <w:pPr>
        <w:rPr>
          <w:rFonts w:ascii="Times New Roman" w:hAnsi="Times New Roman" w:cs="Times New Roman"/>
          <w:sz w:val="24"/>
          <w:szCs w:val="24"/>
        </w:rPr>
      </w:pPr>
    </w:p>
    <w:p w:rsidR="00724ABC" w:rsidRPr="00014F97" w:rsidRDefault="00724ABC">
      <w:pPr>
        <w:rPr>
          <w:rFonts w:ascii="Times New Roman" w:hAnsi="Times New Roman" w:cs="Times New Roman"/>
          <w:sz w:val="24"/>
          <w:szCs w:val="24"/>
          <w:lang w:val="en-CA"/>
        </w:rPr>
      </w:pPr>
      <w:r w:rsidRPr="00014F97">
        <w:rPr>
          <w:rFonts w:ascii="Times New Roman" w:hAnsi="Times New Roman" w:cs="Times New Roman"/>
          <w:sz w:val="24"/>
          <w:szCs w:val="24"/>
          <w:lang w:val="en-CA"/>
        </w:rPr>
        <w:lastRenderedPageBreak/>
        <w:t>Citations:</w:t>
      </w:r>
    </w:p>
    <w:p w:rsidR="002E5053" w:rsidRPr="00014F97" w:rsidRDefault="00E70651"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 xml:space="preserve">1. </w:t>
      </w:r>
      <w:r w:rsidR="002E5053" w:rsidRPr="00014F97">
        <w:rPr>
          <w:rFonts w:ascii="Times New Roman" w:hAnsi="Times New Roman" w:cs="Times New Roman"/>
          <w:sz w:val="24"/>
          <w:szCs w:val="24"/>
          <w:lang w:val="en-CA"/>
        </w:rPr>
        <w:t>D</w:t>
      </w:r>
      <w:r w:rsidR="002E5053" w:rsidRPr="00014F97">
        <w:rPr>
          <w:rFonts w:ascii="Times New Roman" w:hAnsi="Times New Roman" w:cs="Times New Roman"/>
          <w:sz w:val="24"/>
          <w:szCs w:val="24"/>
        </w:rPr>
        <w:t xml:space="preserve">r. Julie </w:t>
      </w:r>
      <w:r w:rsidR="002E5053" w:rsidRPr="00014F97">
        <w:rPr>
          <w:rFonts w:ascii="Times New Roman" w:hAnsi="Times New Roman" w:cs="Times New Roman"/>
          <w:sz w:val="24"/>
          <w:szCs w:val="24"/>
          <w:lang w:val="en-CA"/>
        </w:rPr>
        <w:t xml:space="preserve">Macfarlane, </w:t>
      </w:r>
      <w:r w:rsidR="002E5053" w:rsidRPr="00014F97">
        <w:rPr>
          <w:rFonts w:ascii="Times New Roman" w:hAnsi="Times New Roman" w:cs="Times New Roman"/>
          <w:i/>
          <w:iCs/>
          <w:sz w:val="24"/>
          <w:szCs w:val="24"/>
          <w:lang w:val="en-CA"/>
        </w:rPr>
        <w:t>The National Self-Represented Litigants Project: Identifying and Meeting the Needs of Self-Represented Litigants</w:t>
      </w:r>
      <w:r w:rsidR="002E5053" w:rsidRPr="00014F97">
        <w:rPr>
          <w:rFonts w:ascii="Times New Roman" w:hAnsi="Times New Roman" w:cs="Times New Roman"/>
          <w:sz w:val="24"/>
          <w:szCs w:val="24"/>
          <w:lang w:val="en-CA"/>
        </w:rPr>
        <w:t>, (Canada, 2013) online: &lt;https://www.lsuc.on.ca/uploadedFiles/For_the_Public/About_the_Law_Society/Convocation_Decisions/2014/Self-represented_project.pdf&gt; (6 June 2018) at 15.</w:t>
      </w:r>
    </w:p>
    <w:p w:rsidR="002E5053" w:rsidRPr="00014F97" w:rsidRDefault="002E5053"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 xml:space="preserve">2. </w:t>
      </w:r>
      <w:r w:rsidRPr="00014F97">
        <w:rPr>
          <w:rFonts w:ascii="Times New Roman" w:hAnsi="Times New Roman" w:cs="Times New Roman"/>
          <w:i/>
          <w:iCs/>
          <w:sz w:val="24"/>
          <w:szCs w:val="24"/>
          <w:lang w:val="en-CA"/>
        </w:rPr>
        <w:t>Ibid</w:t>
      </w:r>
      <w:r w:rsidRPr="00014F97">
        <w:rPr>
          <w:rFonts w:ascii="Times New Roman" w:hAnsi="Times New Roman" w:cs="Times New Roman"/>
          <w:sz w:val="24"/>
          <w:szCs w:val="24"/>
          <w:lang w:val="en-CA"/>
        </w:rPr>
        <w:t xml:space="preserve"> at 31.</w:t>
      </w:r>
    </w:p>
    <w:p w:rsidR="00000000" w:rsidRPr="00014F97" w:rsidRDefault="002E5053" w:rsidP="00014F97">
      <w:pPr>
        <w:spacing w:after="120" w:line="240" w:lineRule="auto"/>
        <w:rPr>
          <w:rFonts w:ascii="Times New Roman" w:hAnsi="Times New Roman" w:cs="Times New Roman"/>
          <w:sz w:val="24"/>
          <w:szCs w:val="24"/>
        </w:rPr>
      </w:pPr>
      <w:r w:rsidRPr="00014F97">
        <w:rPr>
          <w:rFonts w:ascii="Times New Roman" w:hAnsi="Times New Roman" w:cs="Times New Roman"/>
          <w:sz w:val="24"/>
          <w:szCs w:val="24"/>
          <w:lang w:val="en-CA"/>
        </w:rPr>
        <w:t xml:space="preserve">3. </w:t>
      </w:r>
      <w:r w:rsidR="006158E4" w:rsidRPr="00014F97">
        <w:rPr>
          <w:rFonts w:ascii="Times New Roman" w:hAnsi="Times New Roman" w:cs="Times New Roman"/>
          <w:sz w:val="24"/>
          <w:szCs w:val="24"/>
        </w:rPr>
        <w:t xml:space="preserve">Justice Annemarie E. Bonkalo, </w:t>
      </w:r>
      <w:r w:rsidR="006158E4" w:rsidRPr="00014F97">
        <w:rPr>
          <w:rFonts w:ascii="Times New Roman" w:hAnsi="Times New Roman" w:cs="Times New Roman"/>
          <w:i/>
          <w:iCs/>
          <w:sz w:val="24"/>
          <w:szCs w:val="24"/>
        </w:rPr>
        <w:t>Family Legal Services Review</w:t>
      </w:r>
      <w:r w:rsidR="006158E4" w:rsidRPr="00014F97">
        <w:rPr>
          <w:rFonts w:ascii="Times New Roman" w:hAnsi="Times New Roman" w:cs="Times New Roman"/>
          <w:sz w:val="24"/>
          <w:szCs w:val="24"/>
        </w:rPr>
        <w:t>, (Canada, 2016) online: &lt;https://www.attorneygeneral.jus.gov.on.ca/english/about/pubs/family_legal_services_revie</w:t>
      </w:r>
      <w:r w:rsidR="00241425" w:rsidRPr="00014F97">
        <w:rPr>
          <w:rFonts w:ascii="Times New Roman" w:hAnsi="Times New Roman" w:cs="Times New Roman"/>
          <w:sz w:val="24"/>
          <w:szCs w:val="24"/>
        </w:rPr>
        <w:t>w/&gt; (6 June 2018).</w:t>
      </w:r>
    </w:p>
    <w:p w:rsidR="009542BB" w:rsidRPr="00014F97" w:rsidRDefault="009542BB" w:rsidP="00014F97">
      <w:pPr>
        <w:spacing w:after="120" w:line="240" w:lineRule="auto"/>
        <w:rPr>
          <w:rFonts w:ascii="Times New Roman" w:hAnsi="Times New Roman" w:cs="Times New Roman"/>
          <w:sz w:val="24"/>
          <w:szCs w:val="24"/>
        </w:rPr>
      </w:pPr>
      <w:r w:rsidRPr="00014F97">
        <w:rPr>
          <w:rFonts w:ascii="Times New Roman" w:hAnsi="Times New Roman" w:cs="Times New Roman"/>
          <w:sz w:val="24"/>
          <w:szCs w:val="24"/>
        </w:rPr>
        <w:t xml:space="preserve">4. </w:t>
      </w:r>
      <w:r w:rsidR="0085333F" w:rsidRPr="00014F97">
        <w:rPr>
          <w:rFonts w:ascii="Times New Roman" w:hAnsi="Times New Roman" w:cs="Times New Roman"/>
          <w:i/>
          <w:sz w:val="24"/>
          <w:szCs w:val="24"/>
        </w:rPr>
        <w:t>Ibid</w:t>
      </w:r>
      <w:r w:rsidR="0085333F" w:rsidRPr="00014F97">
        <w:rPr>
          <w:rFonts w:ascii="Times New Roman" w:hAnsi="Times New Roman" w:cs="Times New Roman"/>
          <w:sz w:val="24"/>
          <w:szCs w:val="24"/>
        </w:rPr>
        <w:t>.</w:t>
      </w:r>
    </w:p>
    <w:p w:rsidR="0085333F" w:rsidRPr="00014F97" w:rsidRDefault="0085333F" w:rsidP="00014F97">
      <w:pPr>
        <w:spacing w:after="120" w:line="240" w:lineRule="auto"/>
        <w:rPr>
          <w:rFonts w:ascii="Times New Roman" w:hAnsi="Times New Roman" w:cs="Times New Roman"/>
          <w:sz w:val="24"/>
          <w:szCs w:val="24"/>
        </w:rPr>
      </w:pPr>
      <w:r w:rsidRPr="00014F97">
        <w:rPr>
          <w:rFonts w:ascii="Times New Roman" w:hAnsi="Times New Roman" w:cs="Times New Roman"/>
          <w:sz w:val="24"/>
          <w:szCs w:val="24"/>
        </w:rPr>
        <w:t xml:space="preserve">5. Macfarlane, </w:t>
      </w:r>
      <w:r w:rsidRPr="00014F97">
        <w:rPr>
          <w:rFonts w:ascii="Times New Roman" w:hAnsi="Times New Roman" w:cs="Times New Roman"/>
          <w:i/>
          <w:sz w:val="24"/>
          <w:szCs w:val="24"/>
        </w:rPr>
        <w:t>supra</w:t>
      </w:r>
      <w:r w:rsidRPr="00014F97">
        <w:rPr>
          <w:rFonts w:ascii="Times New Roman" w:hAnsi="Times New Roman" w:cs="Times New Roman"/>
          <w:sz w:val="24"/>
          <w:szCs w:val="24"/>
        </w:rPr>
        <w:t xml:space="preserve"> note 1.</w:t>
      </w:r>
    </w:p>
    <w:p w:rsidR="00896DD8" w:rsidRPr="00014F97" w:rsidRDefault="0085333F"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rPr>
        <w:t xml:space="preserve">6. </w:t>
      </w:r>
      <w:r w:rsidR="00896DD8" w:rsidRPr="00014F97">
        <w:rPr>
          <w:rFonts w:ascii="Times New Roman" w:hAnsi="Times New Roman" w:cs="Times New Roman"/>
          <w:sz w:val="24"/>
          <w:szCs w:val="24"/>
          <w:lang w:val="en-CA"/>
        </w:rPr>
        <w:t>Clair McCashin, Alex Santos and Desir</w:t>
      </w:r>
      <w:r w:rsidR="00896DD8" w:rsidRPr="00014F97">
        <w:rPr>
          <w:rFonts w:ascii="Times New Roman" w:hAnsi="Times New Roman" w:cs="Times New Roman"/>
          <w:sz w:val="24"/>
          <w:szCs w:val="24"/>
        </w:rPr>
        <w:t xml:space="preserve">ée Steele, “Civil and Family Justice Metrics: Towards a Framework for Saskatchewan” (The Sixth Annual Dean’s Forum on Access to Justice and Dispute Resolution delivered at the College of Law, University of Saskatchewan, 6 March 2018), </w:t>
      </w:r>
      <w:r w:rsidR="00896DD8" w:rsidRPr="00014F97">
        <w:rPr>
          <w:rFonts w:ascii="Times New Roman" w:hAnsi="Times New Roman" w:cs="Times New Roman"/>
          <w:sz w:val="24"/>
          <w:szCs w:val="24"/>
          <w:lang w:val="en-CA"/>
        </w:rPr>
        <w:t xml:space="preserve">[unpublished], </w:t>
      </w:r>
      <w:r w:rsidR="00710C10" w:rsidRPr="00014F97">
        <w:rPr>
          <w:rFonts w:ascii="Times New Roman" w:hAnsi="Times New Roman" w:cs="Times New Roman"/>
          <w:sz w:val="24"/>
          <w:szCs w:val="24"/>
          <w:lang w:val="en-CA"/>
        </w:rPr>
        <w:t xml:space="preserve">at </w:t>
      </w:r>
      <w:r w:rsidR="00896DD8" w:rsidRPr="00014F97">
        <w:rPr>
          <w:rFonts w:ascii="Times New Roman" w:hAnsi="Times New Roman" w:cs="Times New Roman"/>
          <w:sz w:val="24"/>
          <w:szCs w:val="24"/>
          <w:lang w:val="en-CA"/>
        </w:rPr>
        <w:t>2.</w:t>
      </w:r>
    </w:p>
    <w:p w:rsidR="00896DD8" w:rsidRPr="00014F97" w:rsidRDefault="00896DD8"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 xml:space="preserve">7. </w:t>
      </w:r>
      <w:r w:rsidRPr="00014F97">
        <w:rPr>
          <w:rFonts w:ascii="Times New Roman" w:hAnsi="Times New Roman" w:cs="Times New Roman"/>
          <w:i/>
          <w:sz w:val="24"/>
          <w:szCs w:val="24"/>
          <w:lang w:val="en-CA"/>
        </w:rPr>
        <w:t>Ibid</w:t>
      </w:r>
      <w:r w:rsidR="00710C10" w:rsidRPr="00014F97">
        <w:rPr>
          <w:rFonts w:ascii="Times New Roman" w:hAnsi="Times New Roman" w:cs="Times New Roman"/>
          <w:sz w:val="24"/>
          <w:szCs w:val="24"/>
          <w:lang w:val="en-CA"/>
        </w:rPr>
        <w:t xml:space="preserve"> at </w:t>
      </w:r>
      <w:r w:rsidR="00F303AC" w:rsidRPr="00014F97">
        <w:rPr>
          <w:rFonts w:ascii="Times New Roman" w:hAnsi="Times New Roman" w:cs="Times New Roman"/>
          <w:sz w:val="24"/>
          <w:szCs w:val="24"/>
          <w:lang w:val="en-CA"/>
        </w:rPr>
        <w:t>11</w:t>
      </w:r>
      <w:r w:rsidRPr="00014F97">
        <w:rPr>
          <w:rFonts w:ascii="Times New Roman" w:hAnsi="Times New Roman" w:cs="Times New Roman"/>
          <w:sz w:val="24"/>
          <w:szCs w:val="24"/>
          <w:lang w:val="en-CA"/>
        </w:rPr>
        <w:t>.</w:t>
      </w:r>
    </w:p>
    <w:p w:rsidR="00896DD8" w:rsidRPr="00014F97" w:rsidRDefault="00896DD8"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 xml:space="preserve">8. </w:t>
      </w:r>
      <w:r w:rsidRPr="00014F97">
        <w:rPr>
          <w:rFonts w:ascii="Times New Roman" w:hAnsi="Times New Roman" w:cs="Times New Roman"/>
          <w:i/>
          <w:sz w:val="24"/>
          <w:szCs w:val="24"/>
          <w:lang w:val="en-CA"/>
        </w:rPr>
        <w:t>Ibid</w:t>
      </w:r>
      <w:r w:rsidR="00170FE1" w:rsidRPr="00014F97">
        <w:rPr>
          <w:rFonts w:ascii="Times New Roman" w:hAnsi="Times New Roman" w:cs="Times New Roman"/>
          <w:i/>
          <w:sz w:val="24"/>
          <w:szCs w:val="24"/>
          <w:lang w:val="en-CA"/>
        </w:rPr>
        <w:t xml:space="preserve"> </w:t>
      </w:r>
      <w:r w:rsidR="00170FE1" w:rsidRPr="00014F97">
        <w:rPr>
          <w:rFonts w:ascii="Times New Roman" w:hAnsi="Times New Roman" w:cs="Times New Roman"/>
          <w:sz w:val="24"/>
          <w:szCs w:val="24"/>
          <w:lang w:val="en-CA"/>
        </w:rPr>
        <w:t xml:space="preserve">at </w:t>
      </w:r>
      <w:r w:rsidR="00710C10" w:rsidRPr="00014F97">
        <w:rPr>
          <w:rFonts w:ascii="Times New Roman" w:hAnsi="Times New Roman" w:cs="Times New Roman"/>
          <w:sz w:val="24"/>
          <w:szCs w:val="24"/>
          <w:lang w:val="en-CA"/>
        </w:rPr>
        <w:t>12</w:t>
      </w:r>
      <w:r w:rsidRPr="00014F97">
        <w:rPr>
          <w:rFonts w:ascii="Times New Roman" w:hAnsi="Times New Roman" w:cs="Times New Roman"/>
          <w:sz w:val="24"/>
          <w:szCs w:val="24"/>
          <w:lang w:val="en-CA"/>
        </w:rPr>
        <w:t>.</w:t>
      </w:r>
    </w:p>
    <w:p w:rsidR="00073073" w:rsidRPr="00014F97" w:rsidRDefault="00073073"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 xml:space="preserve">9. </w:t>
      </w:r>
      <w:r w:rsidR="00506068" w:rsidRPr="00014F97">
        <w:rPr>
          <w:rFonts w:ascii="Times New Roman" w:hAnsi="Times New Roman" w:cs="Times New Roman"/>
          <w:sz w:val="24"/>
          <w:szCs w:val="24"/>
          <w:lang w:val="en-CA"/>
        </w:rPr>
        <w:t xml:space="preserve">Australian Government Productivity Commission, “Survey of legal costs for Productivity Commission inquiry into access to justice study” (2014) online: &lt; </w:t>
      </w:r>
      <w:hyperlink r:id="rId7" w:history="1">
        <w:r w:rsidR="00506068" w:rsidRPr="00014F97">
          <w:rPr>
            <w:rStyle w:val="Hyperlink"/>
            <w:rFonts w:ascii="Times New Roman" w:hAnsi="Times New Roman" w:cs="Times New Roman"/>
            <w:sz w:val="24"/>
            <w:szCs w:val="24"/>
          </w:rPr>
          <w:t>https://www.pc.gov.au/inquiries/completed/access.../access-justice-appendixc.docx</w:t>
        </w:r>
      </w:hyperlink>
      <w:r w:rsidR="00506068" w:rsidRPr="00014F97">
        <w:rPr>
          <w:rFonts w:ascii="Times New Roman" w:hAnsi="Times New Roman" w:cs="Times New Roman"/>
          <w:sz w:val="24"/>
          <w:szCs w:val="24"/>
        </w:rPr>
        <w:t xml:space="preserve"> &gt;.</w:t>
      </w:r>
    </w:p>
    <w:p w:rsidR="00495289" w:rsidRPr="00014F97" w:rsidRDefault="00495289"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10.</w:t>
      </w:r>
      <w:r w:rsidR="008E06AD" w:rsidRPr="00014F97">
        <w:rPr>
          <w:rFonts w:ascii="Times New Roman" w:hAnsi="Times New Roman" w:cs="Times New Roman"/>
          <w:sz w:val="24"/>
          <w:szCs w:val="24"/>
          <w:lang w:val="en-CA"/>
        </w:rPr>
        <w:t xml:space="preserve"> </w:t>
      </w:r>
      <w:r w:rsidR="008E06AD" w:rsidRPr="00014F97">
        <w:rPr>
          <w:rFonts w:ascii="Times New Roman" w:hAnsi="Times New Roman" w:cs="Times New Roman"/>
          <w:i/>
          <w:sz w:val="24"/>
          <w:szCs w:val="24"/>
          <w:lang w:val="en-CA"/>
        </w:rPr>
        <w:t>The Freedom of Information and Protection of Privacy Act</w:t>
      </w:r>
      <w:r w:rsidR="008E06AD" w:rsidRPr="00014F97">
        <w:rPr>
          <w:rFonts w:ascii="Times New Roman" w:hAnsi="Times New Roman" w:cs="Times New Roman"/>
          <w:sz w:val="24"/>
          <w:szCs w:val="24"/>
          <w:lang w:val="en-CA"/>
        </w:rPr>
        <w:t>, SS 1990-91, c F-22.01, s 25 [FIPPA].</w:t>
      </w:r>
    </w:p>
    <w:p w:rsidR="00E4609C" w:rsidRPr="00014F97" w:rsidRDefault="00495289"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 xml:space="preserve">11. </w:t>
      </w:r>
      <w:r w:rsidR="00AA149B" w:rsidRPr="00014F97">
        <w:rPr>
          <w:rFonts w:ascii="Times New Roman" w:hAnsi="Times New Roman" w:cs="Times New Roman"/>
          <w:sz w:val="24"/>
          <w:szCs w:val="24"/>
          <w:lang w:val="en-CA"/>
        </w:rPr>
        <w:t xml:space="preserve"> </w:t>
      </w:r>
      <w:r w:rsidR="00AA149B" w:rsidRPr="00014F97">
        <w:rPr>
          <w:rFonts w:ascii="Times New Roman" w:hAnsi="Times New Roman" w:cs="Times New Roman"/>
          <w:sz w:val="24"/>
          <w:szCs w:val="24"/>
        </w:rPr>
        <w:t xml:space="preserve">FIPPA, </w:t>
      </w:r>
      <w:r w:rsidR="00AA149B" w:rsidRPr="00014F97">
        <w:rPr>
          <w:rFonts w:ascii="Times New Roman" w:hAnsi="Times New Roman" w:cs="Times New Roman"/>
          <w:i/>
          <w:iCs/>
          <w:sz w:val="24"/>
          <w:szCs w:val="24"/>
        </w:rPr>
        <w:t xml:space="preserve">supra </w:t>
      </w:r>
      <w:r w:rsidR="00AA149B" w:rsidRPr="00014F97">
        <w:rPr>
          <w:rFonts w:ascii="Times New Roman" w:hAnsi="Times New Roman" w:cs="Times New Roman"/>
          <w:sz w:val="24"/>
          <w:szCs w:val="24"/>
        </w:rPr>
        <w:t>note 10</w:t>
      </w:r>
      <w:r w:rsidR="00AA149B" w:rsidRPr="00014F97">
        <w:rPr>
          <w:rFonts w:ascii="Times New Roman" w:hAnsi="Times New Roman" w:cs="Times New Roman"/>
          <w:sz w:val="24"/>
          <w:szCs w:val="24"/>
        </w:rPr>
        <w:t xml:space="preserve"> </w:t>
      </w:r>
      <w:r w:rsidR="00AA149B" w:rsidRPr="00014F97">
        <w:rPr>
          <w:rFonts w:ascii="Times New Roman" w:hAnsi="Times New Roman" w:cs="Times New Roman"/>
          <w:sz w:val="24"/>
          <w:szCs w:val="24"/>
        </w:rPr>
        <w:t>s 28</w:t>
      </w:r>
      <w:r w:rsidR="00AA149B" w:rsidRPr="00014F97">
        <w:rPr>
          <w:rFonts w:ascii="Times New Roman" w:hAnsi="Times New Roman" w:cs="Times New Roman"/>
          <w:sz w:val="24"/>
          <w:szCs w:val="24"/>
        </w:rPr>
        <w:t>.</w:t>
      </w:r>
    </w:p>
    <w:p w:rsidR="00610111" w:rsidRPr="00014F97" w:rsidRDefault="00610111" w:rsidP="00014F97">
      <w:pPr>
        <w:spacing w:after="120" w:line="240" w:lineRule="auto"/>
        <w:rPr>
          <w:rFonts w:ascii="Times New Roman" w:hAnsi="Times New Roman" w:cs="Times New Roman"/>
          <w:sz w:val="24"/>
          <w:szCs w:val="24"/>
        </w:rPr>
      </w:pPr>
      <w:r w:rsidRPr="00014F97">
        <w:rPr>
          <w:rFonts w:ascii="Times New Roman" w:hAnsi="Times New Roman" w:cs="Times New Roman"/>
          <w:sz w:val="24"/>
          <w:szCs w:val="24"/>
          <w:lang w:val="en-CA"/>
        </w:rPr>
        <w:t xml:space="preserve">12. </w:t>
      </w:r>
      <w:r w:rsidRPr="00014F97">
        <w:rPr>
          <w:rFonts w:ascii="Times New Roman" w:hAnsi="Times New Roman" w:cs="Times New Roman"/>
          <w:sz w:val="24"/>
          <w:szCs w:val="24"/>
        </w:rPr>
        <w:t xml:space="preserve">FIPPA, </w:t>
      </w:r>
      <w:r w:rsidRPr="00014F97">
        <w:rPr>
          <w:rFonts w:ascii="Times New Roman" w:hAnsi="Times New Roman" w:cs="Times New Roman"/>
          <w:i/>
          <w:iCs/>
          <w:sz w:val="24"/>
          <w:szCs w:val="24"/>
        </w:rPr>
        <w:t xml:space="preserve">supra </w:t>
      </w:r>
      <w:r w:rsidRPr="00014F97">
        <w:rPr>
          <w:rFonts w:ascii="Times New Roman" w:hAnsi="Times New Roman" w:cs="Times New Roman"/>
          <w:sz w:val="24"/>
          <w:szCs w:val="24"/>
        </w:rPr>
        <w:t>note 1</w:t>
      </w:r>
      <w:r w:rsidR="00AA149B" w:rsidRPr="00014F97">
        <w:rPr>
          <w:rFonts w:ascii="Times New Roman" w:hAnsi="Times New Roman" w:cs="Times New Roman"/>
          <w:sz w:val="24"/>
          <w:szCs w:val="24"/>
        </w:rPr>
        <w:t>0 ss</w:t>
      </w:r>
      <w:r w:rsidRPr="00014F97">
        <w:rPr>
          <w:rFonts w:ascii="Times New Roman" w:hAnsi="Times New Roman" w:cs="Times New Roman"/>
          <w:sz w:val="24"/>
          <w:szCs w:val="24"/>
        </w:rPr>
        <w:t xml:space="preserve"> 29(1) and 29(2)(a).</w:t>
      </w:r>
    </w:p>
    <w:p w:rsidR="00610111" w:rsidRPr="00014F97" w:rsidRDefault="00E4609C" w:rsidP="00014F97">
      <w:pPr>
        <w:spacing w:after="120" w:line="240" w:lineRule="auto"/>
        <w:rPr>
          <w:rFonts w:ascii="Times New Roman" w:hAnsi="Times New Roman" w:cs="Times New Roman"/>
          <w:sz w:val="24"/>
          <w:szCs w:val="24"/>
        </w:rPr>
      </w:pPr>
      <w:r w:rsidRPr="00014F97">
        <w:rPr>
          <w:rFonts w:ascii="Times New Roman" w:hAnsi="Times New Roman" w:cs="Times New Roman"/>
          <w:sz w:val="24"/>
          <w:szCs w:val="24"/>
        </w:rPr>
        <w:t xml:space="preserve">13. </w:t>
      </w:r>
      <w:r w:rsidR="00EF1AAF" w:rsidRPr="00014F97">
        <w:rPr>
          <w:rFonts w:ascii="Times New Roman" w:hAnsi="Times New Roman" w:cs="Times New Roman"/>
          <w:sz w:val="24"/>
          <w:szCs w:val="24"/>
        </w:rPr>
        <w:t xml:space="preserve">Barbara McIsaac, Rick Shields &amp; Kris Klein, </w:t>
      </w:r>
      <w:r w:rsidR="00EF1AAF" w:rsidRPr="00014F97">
        <w:rPr>
          <w:rFonts w:ascii="Times New Roman" w:hAnsi="Times New Roman" w:cs="Times New Roman"/>
          <w:i/>
          <w:sz w:val="24"/>
          <w:szCs w:val="24"/>
        </w:rPr>
        <w:t>The Law of Privacy in Canada</w:t>
      </w:r>
      <w:r w:rsidR="00EF1AAF" w:rsidRPr="00014F97">
        <w:rPr>
          <w:rFonts w:ascii="Times New Roman" w:hAnsi="Times New Roman" w:cs="Times New Roman"/>
          <w:sz w:val="24"/>
          <w:szCs w:val="24"/>
        </w:rPr>
        <w:t>, 2011 Student Edition (Toronto: Carswell, A Division of Thomson Reuters Canada Limited, 2011) at 3-62.1 [McIsaac].</w:t>
      </w:r>
    </w:p>
    <w:p w:rsidR="000117F5" w:rsidRPr="00014F97" w:rsidRDefault="000117F5"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 xml:space="preserve">14. </w:t>
      </w:r>
      <w:r w:rsidR="00EF1AAF" w:rsidRPr="00014F97">
        <w:rPr>
          <w:rFonts w:ascii="Times New Roman" w:hAnsi="Times New Roman" w:cs="Times New Roman"/>
          <w:sz w:val="24"/>
          <w:szCs w:val="24"/>
          <w:lang w:val="en-CA"/>
        </w:rPr>
        <w:t xml:space="preserve">FIPPA, </w:t>
      </w:r>
      <w:r w:rsidR="00EF1AAF" w:rsidRPr="00014F97">
        <w:rPr>
          <w:rFonts w:ascii="Times New Roman" w:hAnsi="Times New Roman" w:cs="Times New Roman"/>
          <w:i/>
          <w:sz w:val="24"/>
          <w:szCs w:val="24"/>
          <w:lang w:val="en-CA"/>
        </w:rPr>
        <w:t>supra</w:t>
      </w:r>
      <w:r w:rsidR="00EF1AAF" w:rsidRPr="00014F97">
        <w:rPr>
          <w:rFonts w:ascii="Times New Roman" w:hAnsi="Times New Roman" w:cs="Times New Roman"/>
          <w:sz w:val="24"/>
          <w:szCs w:val="24"/>
          <w:lang w:val="en-CA"/>
        </w:rPr>
        <w:t xml:space="preserve"> note 10 </w:t>
      </w:r>
      <w:r w:rsidRPr="00014F97">
        <w:rPr>
          <w:rFonts w:ascii="Times New Roman" w:hAnsi="Times New Roman" w:cs="Times New Roman"/>
          <w:sz w:val="24"/>
          <w:szCs w:val="24"/>
          <w:lang w:val="en-CA"/>
        </w:rPr>
        <w:t>s 29(2)(k).</w:t>
      </w:r>
    </w:p>
    <w:p w:rsidR="001D5A72" w:rsidRPr="00014F97" w:rsidRDefault="001D5A72"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 xml:space="preserve">15. </w:t>
      </w:r>
      <w:r w:rsidRPr="00014F97">
        <w:rPr>
          <w:rFonts w:ascii="Times New Roman" w:hAnsi="Times New Roman" w:cs="Times New Roman"/>
          <w:sz w:val="24"/>
          <w:szCs w:val="24"/>
        </w:rPr>
        <w:t xml:space="preserve">Saskatchewan </w:t>
      </w:r>
      <w:r w:rsidRPr="00014F97">
        <w:rPr>
          <w:rFonts w:ascii="Times New Roman" w:hAnsi="Times New Roman" w:cs="Times New Roman"/>
          <w:sz w:val="24"/>
          <w:szCs w:val="24"/>
          <w:lang w:val="en-CA"/>
        </w:rPr>
        <w:t>RRS, c F-22.01, Reg 1, s 18(1) (2017).</w:t>
      </w:r>
    </w:p>
    <w:p w:rsidR="0016191D" w:rsidRPr="00014F97" w:rsidRDefault="0016191D" w:rsidP="00014F97">
      <w:pPr>
        <w:pStyle w:val="NormalWeb"/>
        <w:spacing w:after="120" w:line="240" w:lineRule="auto"/>
        <w:rPr>
          <w:rFonts w:eastAsia="Times New Roman"/>
        </w:rPr>
      </w:pPr>
      <w:r w:rsidRPr="00014F97">
        <w:rPr>
          <w:lang w:val="en-CA"/>
        </w:rPr>
        <w:t xml:space="preserve">16. </w:t>
      </w:r>
      <w:r w:rsidRPr="00014F97">
        <w:rPr>
          <w:rFonts w:eastAsia="Calibri"/>
          <w:i/>
          <w:iCs/>
          <w:color w:val="000000"/>
          <w:kern w:val="24"/>
          <w:lang w:val="en-CA"/>
        </w:rPr>
        <w:t>Ibid</w:t>
      </w:r>
      <w:r w:rsidRPr="00014F97">
        <w:rPr>
          <w:rFonts w:eastAsia="Calibri"/>
          <w:color w:val="000000"/>
          <w:kern w:val="24"/>
          <w:lang w:val="en-CA"/>
        </w:rPr>
        <w:t xml:space="preserve"> s 18(3-5).</w:t>
      </w:r>
    </w:p>
    <w:p w:rsidR="001D5A72" w:rsidRPr="00014F97" w:rsidRDefault="00D701D9" w:rsidP="00014F97">
      <w:pPr>
        <w:spacing w:after="120" w:line="240" w:lineRule="auto"/>
        <w:rPr>
          <w:rFonts w:ascii="Times New Roman" w:hAnsi="Times New Roman" w:cs="Times New Roman"/>
          <w:sz w:val="24"/>
          <w:szCs w:val="24"/>
        </w:rPr>
      </w:pPr>
      <w:r w:rsidRPr="00014F97">
        <w:rPr>
          <w:rFonts w:ascii="Times New Roman" w:hAnsi="Times New Roman" w:cs="Times New Roman"/>
          <w:sz w:val="24"/>
          <w:szCs w:val="24"/>
          <w:lang w:val="en-CA"/>
        </w:rPr>
        <w:t xml:space="preserve">17. </w:t>
      </w:r>
      <w:r w:rsidRPr="00014F97">
        <w:rPr>
          <w:rFonts w:ascii="Times New Roman" w:hAnsi="Times New Roman" w:cs="Times New Roman"/>
          <w:i/>
          <w:iCs/>
          <w:sz w:val="24"/>
          <w:szCs w:val="24"/>
        </w:rPr>
        <w:t xml:space="preserve">Order F09-21; British Columbia (Ministry of Education) (Re) </w:t>
      </w:r>
      <w:r w:rsidRPr="00014F97">
        <w:rPr>
          <w:rFonts w:ascii="Times New Roman" w:hAnsi="Times New Roman" w:cs="Times New Roman"/>
          <w:sz w:val="24"/>
          <w:szCs w:val="24"/>
        </w:rPr>
        <w:t>(10 November 2009), online: BCIPCD.</w:t>
      </w:r>
    </w:p>
    <w:p w:rsidR="00D701D9" w:rsidRPr="00014F97" w:rsidRDefault="00D701D9" w:rsidP="00014F97">
      <w:pPr>
        <w:spacing w:after="120" w:line="240" w:lineRule="auto"/>
        <w:rPr>
          <w:rFonts w:ascii="Times New Roman" w:hAnsi="Times New Roman" w:cs="Times New Roman"/>
          <w:sz w:val="24"/>
          <w:szCs w:val="24"/>
        </w:rPr>
      </w:pPr>
      <w:r w:rsidRPr="00014F97">
        <w:rPr>
          <w:rFonts w:ascii="Times New Roman" w:hAnsi="Times New Roman" w:cs="Times New Roman"/>
          <w:sz w:val="24"/>
          <w:szCs w:val="24"/>
        </w:rPr>
        <w:t xml:space="preserve">18. </w:t>
      </w:r>
      <w:r w:rsidR="00687E0F" w:rsidRPr="00014F97">
        <w:rPr>
          <w:rFonts w:ascii="Times New Roman" w:hAnsi="Times New Roman" w:cs="Times New Roman"/>
          <w:i/>
          <w:iCs/>
          <w:sz w:val="24"/>
          <w:szCs w:val="24"/>
        </w:rPr>
        <w:t>Yeager v. Canada (Minister of Citizenship and Immigration)</w:t>
      </w:r>
      <w:r w:rsidR="00687E0F" w:rsidRPr="00014F97">
        <w:rPr>
          <w:rFonts w:ascii="Times New Roman" w:hAnsi="Times New Roman" w:cs="Times New Roman"/>
          <w:sz w:val="24"/>
          <w:szCs w:val="24"/>
        </w:rPr>
        <w:t xml:space="preserve"> 2008 FC 113, [2008] F.C.J. No. 126 and </w:t>
      </w:r>
      <w:r w:rsidR="00687E0F" w:rsidRPr="00014F97">
        <w:rPr>
          <w:rFonts w:ascii="Times New Roman" w:hAnsi="Times New Roman" w:cs="Times New Roman"/>
          <w:i/>
          <w:iCs/>
          <w:sz w:val="24"/>
          <w:szCs w:val="24"/>
        </w:rPr>
        <w:t>Thurlow v. Canada (Solicitor General)</w:t>
      </w:r>
      <w:r w:rsidR="00687E0F" w:rsidRPr="00014F97">
        <w:rPr>
          <w:rFonts w:ascii="Times New Roman" w:hAnsi="Times New Roman" w:cs="Times New Roman"/>
          <w:sz w:val="24"/>
          <w:szCs w:val="24"/>
        </w:rPr>
        <w:t xml:space="preserve"> 2003 FC 1414, [2003] F.C.J. No. 1802.</w:t>
      </w:r>
    </w:p>
    <w:p w:rsidR="008E0085" w:rsidRPr="00014F97" w:rsidRDefault="00687E0F" w:rsidP="00014F97">
      <w:pPr>
        <w:spacing w:after="120" w:line="240" w:lineRule="auto"/>
        <w:rPr>
          <w:rFonts w:ascii="Times New Roman" w:hAnsi="Times New Roman" w:cs="Times New Roman"/>
          <w:sz w:val="24"/>
          <w:szCs w:val="24"/>
        </w:rPr>
      </w:pPr>
      <w:r w:rsidRPr="00014F97">
        <w:rPr>
          <w:rFonts w:ascii="Times New Roman" w:hAnsi="Times New Roman" w:cs="Times New Roman"/>
          <w:sz w:val="24"/>
          <w:szCs w:val="24"/>
        </w:rPr>
        <w:t xml:space="preserve">19. </w:t>
      </w:r>
      <w:r w:rsidR="008E0085" w:rsidRPr="00014F97">
        <w:rPr>
          <w:rFonts w:ascii="Times New Roman" w:hAnsi="Times New Roman" w:cs="Times New Roman"/>
          <w:i/>
          <w:iCs/>
          <w:sz w:val="24"/>
          <w:szCs w:val="24"/>
        </w:rPr>
        <w:t xml:space="preserve">Government Information (Public Access) Act 2009 </w:t>
      </w:r>
      <w:r w:rsidR="008E0085" w:rsidRPr="00014F97">
        <w:rPr>
          <w:rFonts w:ascii="Times New Roman" w:hAnsi="Times New Roman" w:cs="Times New Roman"/>
          <w:sz w:val="24"/>
          <w:szCs w:val="24"/>
        </w:rPr>
        <w:t>(NSW), s 12 [GIPA].</w:t>
      </w:r>
    </w:p>
    <w:p w:rsidR="00A10600" w:rsidRPr="00014F97" w:rsidRDefault="00A10600" w:rsidP="00014F97">
      <w:pPr>
        <w:spacing w:after="120" w:line="240" w:lineRule="auto"/>
        <w:rPr>
          <w:rFonts w:ascii="Times New Roman" w:hAnsi="Times New Roman" w:cs="Times New Roman"/>
          <w:sz w:val="24"/>
          <w:szCs w:val="24"/>
        </w:rPr>
      </w:pPr>
      <w:r w:rsidRPr="00014F97">
        <w:rPr>
          <w:rFonts w:ascii="Times New Roman" w:hAnsi="Times New Roman" w:cs="Times New Roman"/>
          <w:sz w:val="24"/>
          <w:szCs w:val="24"/>
        </w:rPr>
        <w:t xml:space="preserve">20. </w:t>
      </w:r>
      <w:r w:rsidRPr="00014F97">
        <w:rPr>
          <w:rFonts w:ascii="Times New Roman" w:hAnsi="Times New Roman" w:cs="Times New Roman"/>
          <w:i/>
          <w:iCs/>
          <w:sz w:val="24"/>
          <w:szCs w:val="24"/>
        </w:rPr>
        <w:t xml:space="preserve">Raven v University of Sydney </w:t>
      </w:r>
      <w:r w:rsidRPr="00014F97">
        <w:rPr>
          <w:rFonts w:ascii="Times New Roman" w:hAnsi="Times New Roman" w:cs="Times New Roman"/>
          <w:sz w:val="24"/>
          <w:szCs w:val="24"/>
        </w:rPr>
        <w:t>(2015), [2015] NSWCATAD 104 (NCAT).</w:t>
      </w:r>
    </w:p>
    <w:p w:rsidR="00A10600" w:rsidRPr="00014F97" w:rsidRDefault="00A10600"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rPr>
        <w:t>21.</w:t>
      </w:r>
      <w:r w:rsidR="00B52665" w:rsidRPr="00014F97">
        <w:rPr>
          <w:rFonts w:ascii="Times New Roman" w:hAnsi="Times New Roman" w:cs="Times New Roman"/>
          <w:sz w:val="24"/>
          <w:szCs w:val="24"/>
        </w:rPr>
        <w:t xml:space="preserve"> </w:t>
      </w:r>
      <w:r w:rsidR="00B52665" w:rsidRPr="00014F97">
        <w:rPr>
          <w:rFonts w:ascii="Times New Roman" w:hAnsi="Times New Roman" w:cs="Times New Roman"/>
          <w:i/>
          <w:iCs/>
          <w:sz w:val="24"/>
          <w:szCs w:val="24"/>
          <w:lang w:val="en-CA"/>
        </w:rPr>
        <w:t xml:space="preserve">Hurst v Wagga Wagga City Council </w:t>
      </w:r>
      <w:r w:rsidR="00B52665" w:rsidRPr="00014F97">
        <w:rPr>
          <w:rFonts w:ascii="Times New Roman" w:hAnsi="Times New Roman" w:cs="Times New Roman"/>
          <w:sz w:val="24"/>
          <w:szCs w:val="24"/>
          <w:lang w:val="en-CA"/>
        </w:rPr>
        <w:t>(2011), [2011] NSWADT 307</w:t>
      </w:r>
      <w:r w:rsidR="00904607" w:rsidRPr="00014F97">
        <w:rPr>
          <w:rFonts w:ascii="Times New Roman" w:hAnsi="Times New Roman" w:cs="Times New Roman"/>
          <w:sz w:val="24"/>
          <w:szCs w:val="24"/>
          <w:lang w:val="en-CA"/>
        </w:rPr>
        <w:t xml:space="preserve"> [</w:t>
      </w:r>
      <w:r w:rsidR="00904607" w:rsidRPr="00014F97">
        <w:rPr>
          <w:rFonts w:ascii="Times New Roman" w:hAnsi="Times New Roman" w:cs="Times New Roman"/>
          <w:i/>
          <w:sz w:val="24"/>
          <w:szCs w:val="24"/>
          <w:lang w:val="en-CA"/>
        </w:rPr>
        <w:t>Hurst</w:t>
      </w:r>
      <w:r w:rsidR="00904607" w:rsidRPr="00014F97">
        <w:rPr>
          <w:rFonts w:ascii="Times New Roman" w:hAnsi="Times New Roman" w:cs="Times New Roman"/>
          <w:sz w:val="24"/>
          <w:szCs w:val="24"/>
          <w:lang w:val="en-CA"/>
        </w:rPr>
        <w:t>]</w:t>
      </w:r>
      <w:r w:rsidR="00B52665" w:rsidRPr="00014F97">
        <w:rPr>
          <w:rFonts w:ascii="Times New Roman" w:hAnsi="Times New Roman" w:cs="Times New Roman"/>
          <w:sz w:val="24"/>
          <w:szCs w:val="24"/>
          <w:lang w:val="en-CA"/>
        </w:rPr>
        <w:t>.</w:t>
      </w:r>
    </w:p>
    <w:p w:rsidR="00B52665" w:rsidRPr="00014F97" w:rsidRDefault="00B52665"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lastRenderedPageBreak/>
        <w:t xml:space="preserve">22. </w:t>
      </w:r>
      <w:r w:rsidR="00192A60" w:rsidRPr="00014F97">
        <w:rPr>
          <w:rFonts w:ascii="Times New Roman" w:hAnsi="Times New Roman" w:cs="Times New Roman"/>
          <w:i/>
          <w:iCs/>
          <w:sz w:val="24"/>
          <w:szCs w:val="24"/>
          <w:lang w:val="en-CA"/>
        </w:rPr>
        <w:t xml:space="preserve">Field v CMR of Police, New South Wales Police Force </w:t>
      </w:r>
      <w:r w:rsidR="00192A60" w:rsidRPr="00014F97">
        <w:rPr>
          <w:rFonts w:ascii="Times New Roman" w:hAnsi="Times New Roman" w:cs="Times New Roman"/>
          <w:sz w:val="24"/>
          <w:szCs w:val="24"/>
          <w:lang w:val="en-CA"/>
        </w:rPr>
        <w:t>(2015), [2015] NSWCATAD 153</w:t>
      </w:r>
      <w:r w:rsidR="00904607" w:rsidRPr="00014F97">
        <w:rPr>
          <w:rFonts w:ascii="Times New Roman" w:hAnsi="Times New Roman" w:cs="Times New Roman"/>
          <w:sz w:val="24"/>
          <w:szCs w:val="24"/>
          <w:lang w:val="en-CA"/>
        </w:rPr>
        <w:t xml:space="preserve"> [</w:t>
      </w:r>
      <w:r w:rsidR="00904607" w:rsidRPr="00014F97">
        <w:rPr>
          <w:rFonts w:ascii="Times New Roman" w:hAnsi="Times New Roman" w:cs="Times New Roman"/>
          <w:i/>
          <w:sz w:val="24"/>
          <w:szCs w:val="24"/>
          <w:lang w:val="en-CA"/>
        </w:rPr>
        <w:t>Field</w:t>
      </w:r>
      <w:r w:rsidR="00904607" w:rsidRPr="00014F97">
        <w:rPr>
          <w:rFonts w:ascii="Times New Roman" w:hAnsi="Times New Roman" w:cs="Times New Roman"/>
          <w:sz w:val="24"/>
          <w:szCs w:val="24"/>
          <w:lang w:val="en-CA"/>
        </w:rPr>
        <w:t>]</w:t>
      </w:r>
      <w:r w:rsidR="00192A60" w:rsidRPr="00014F97">
        <w:rPr>
          <w:rFonts w:ascii="Times New Roman" w:hAnsi="Times New Roman" w:cs="Times New Roman"/>
          <w:sz w:val="24"/>
          <w:szCs w:val="24"/>
          <w:lang w:val="en-CA"/>
        </w:rPr>
        <w:t>.</w:t>
      </w:r>
    </w:p>
    <w:p w:rsidR="00192A60" w:rsidRPr="00014F97" w:rsidRDefault="00192A60" w:rsidP="00014F97">
      <w:pPr>
        <w:spacing w:after="120" w:line="240" w:lineRule="auto"/>
        <w:rPr>
          <w:rFonts w:ascii="Times New Roman" w:hAnsi="Times New Roman" w:cs="Times New Roman"/>
          <w:sz w:val="24"/>
          <w:szCs w:val="24"/>
          <w:lang w:val="en-CA"/>
        </w:rPr>
      </w:pPr>
      <w:r w:rsidRPr="00014F97">
        <w:rPr>
          <w:rFonts w:ascii="Times New Roman" w:hAnsi="Times New Roman" w:cs="Times New Roman"/>
          <w:sz w:val="24"/>
          <w:szCs w:val="24"/>
          <w:lang w:val="en-CA"/>
        </w:rPr>
        <w:t xml:space="preserve">23. </w:t>
      </w:r>
      <w:r w:rsidR="000F4894" w:rsidRPr="00014F97">
        <w:rPr>
          <w:rFonts w:ascii="Times New Roman" w:hAnsi="Times New Roman" w:cs="Times New Roman"/>
          <w:i/>
          <w:iCs/>
          <w:sz w:val="24"/>
          <w:szCs w:val="24"/>
          <w:lang w:val="en-CA"/>
        </w:rPr>
        <w:t xml:space="preserve">Seven Network Ltd. v South Eastern Sydney Local Health District </w:t>
      </w:r>
      <w:r w:rsidR="000F4894" w:rsidRPr="00014F97">
        <w:rPr>
          <w:rFonts w:ascii="Times New Roman" w:hAnsi="Times New Roman" w:cs="Times New Roman"/>
          <w:sz w:val="24"/>
          <w:szCs w:val="24"/>
          <w:lang w:val="en-CA"/>
        </w:rPr>
        <w:t>(2017), [2017] NSWCATAD 210.</w:t>
      </w:r>
    </w:p>
    <w:p w:rsidR="00E70651" w:rsidRPr="008C5887" w:rsidRDefault="000F4894" w:rsidP="008C5887">
      <w:pPr>
        <w:spacing w:after="120" w:line="240" w:lineRule="auto"/>
        <w:rPr>
          <w:rFonts w:ascii="Times New Roman" w:hAnsi="Times New Roman" w:cs="Times New Roman"/>
          <w:sz w:val="24"/>
          <w:szCs w:val="24"/>
        </w:rPr>
      </w:pPr>
      <w:r w:rsidRPr="008C5887">
        <w:rPr>
          <w:rFonts w:ascii="Times New Roman" w:hAnsi="Times New Roman" w:cs="Times New Roman"/>
          <w:sz w:val="24"/>
          <w:szCs w:val="24"/>
          <w:lang w:val="en-CA"/>
        </w:rPr>
        <w:t xml:space="preserve">24. </w:t>
      </w:r>
      <w:r w:rsidR="00C00746" w:rsidRPr="008C5887">
        <w:rPr>
          <w:rFonts w:ascii="Times New Roman" w:hAnsi="Times New Roman" w:cs="Times New Roman"/>
          <w:i/>
          <w:iCs/>
          <w:sz w:val="24"/>
          <w:szCs w:val="24"/>
          <w:lang w:val="en-CA"/>
        </w:rPr>
        <w:t xml:space="preserve">Khoo v South Western Sydney Local Health District </w:t>
      </w:r>
      <w:r w:rsidR="00C00746" w:rsidRPr="008C5887">
        <w:rPr>
          <w:rFonts w:ascii="Times New Roman" w:hAnsi="Times New Roman" w:cs="Times New Roman"/>
          <w:sz w:val="24"/>
          <w:szCs w:val="24"/>
          <w:lang w:val="en-CA"/>
        </w:rPr>
        <w:t>(2015), [2015] NSWCATAD 183 [</w:t>
      </w:r>
      <w:r w:rsidR="00C00746" w:rsidRPr="008C5887">
        <w:rPr>
          <w:rFonts w:ascii="Times New Roman" w:hAnsi="Times New Roman" w:cs="Times New Roman"/>
          <w:i/>
          <w:sz w:val="24"/>
          <w:szCs w:val="24"/>
          <w:lang w:val="en-CA"/>
        </w:rPr>
        <w:t>Khoo</w:t>
      </w:r>
      <w:r w:rsidR="00C00746" w:rsidRPr="008C5887">
        <w:rPr>
          <w:rFonts w:ascii="Times New Roman" w:hAnsi="Times New Roman" w:cs="Times New Roman"/>
          <w:sz w:val="24"/>
          <w:szCs w:val="24"/>
          <w:lang w:val="en-CA"/>
        </w:rPr>
        <w:t>].</w:t>
      </w:r>
    </w:p>
    <w:p w:rsidR="004D43A0" w:rsidRPr="008C5887" w:rsidRDefault="004D43A0" w:rsidP="008C5887">
      <w:pPr>
        <w:spacing w:after="120" w:line="240" w:lineRule="auto"/>
        <w:rPr>
          <w:rFonts w:ascii="Times New Roman" w:hAnsi="Times New Roman" w:cs="Times New Roman"/>
          <w:sz w:val="24"/>
          <w:szCs w:val="24"/>
          <w:lang w:val="en-CA"/>
        </w:rPr>
      </w:pPr>
      <w:r w:rsidRPr="008C5887">
        <w:rPr>
          <w:rFonts w:ascii="Times New Roman" w:hAnsi="Times New Roman" w:cs="Times New Roman"/>
          <w:sz w:val="24"/>
          <w:szCs w:val="24"/>
          <w:lang w:val="en-CA"/>
        </w:rPr>
        <w:t xml:space="preserve">25. </w:t>
      </w:r>
      <w:r w:rsidRPr="008C5887">
        <w:rPr>
          <w:rFonts w:ascii="Times New Roman" w:hAnsi="Times New Roman" w:cs="Times New Roman"/>
          <w:i/>
          <w:sz w:val="24"/>
          <w:szCs w:val="24"/>
        </w:rPr>
        <w:t xml:space="preserve">CIHI’s </w:t>
      </w:r>
      <w:r w:rsidRPr="008C5887">
        <w:rPr>
          <w:rFonts w:ascii="Times New Roman" w:hAnsi="Times New Roman" w:cs="Times New Roman"/>
          <w:i/>
          <w:sz w:val="24"/>
          <w:szCs w:val="24"/>
          <w:lang w:val="en-CA"/>
        </w:rPr>
        <w:t>Strategic Plan, 2016 to 2021</w:t>
      </w:r>
      <w:r w:rsidRPr="008C5887">
        <w:rPr>
          <w:rFonts w:ascii="Times New Roman" w:hAnsi="Times New Roman" w:cs="Times New Roman"/>
          <w:sz w:val="24"/>
          <w:szCs w:val="24"/>
          <w:lang w:val="en-CA"/>
        </w:rPr>
        <w:t>, online: &lt;</w:t>
      </w:r>
      <w:hyperlink r:id="rId8" w:history="1">
        <w:r w:rsidRPr="008C5887">
          <w:rPr>
            <w:rStyle w:val="Hyperlink"/>
            <w:rFonts w:ascii="Times New Roman" w:hAnsi="Times New Roman" w:cs="Times New Roman"/>
            <w:sz w:val="24"/>
            <w:szCs w:val="24"/>
            <w:lang w:val="en-CA"/>
          </w:rPr>
          <w:t>https://www.cihi.ca/sites/default/files/document/strategicplan2016-2021-enweb.pdf</w:t>
        </w:r>
      </w:hyperlink>
      <w:r w:rsidRPr="008C5887">
        <w:rPr>
          <w:rFonts w:ascii="Times New Roman" w:hAnsi="Times New Roman" w:cs="Times New Roman"/>
          <w:sz w:val="24"/>
          <w:szCs w:val="24"/>
          <w:lang w:val="en-CA"/>
        </w:rPr>
        <w:t>&gt; (3 July 2018) at 7.</w:t>
      </w:r>
    </w:p>
    <w:p w:rsidR="00471A13" w:rsidRPr="008C5887" w:rsidRDefault="00471A13" w:rsidP="008C5887">
      <w:pPr>
        <w:spacing w:after="120" w:line="240" w:lineRule="auto"/>
        <w:rPr>
          <w:rFonts w:ascii="Times New Roman" w:hAnsi="Times New Roman" w:cs="Times New Roman"/>
          <w:sz w:val="24"/>
          <w:szCs w:val="24"/>
        </w:rPr>
      </w:pPr>
      <w:r w:rsidRPr="008C5887">
        <w:rPr>
          <w:rFonts w:ascii="Times New Roman" w:hAnsi="Times New Roman" w:cs="Times New Roman"/>
          <w:sz w:val="24"/>
          <w:szCs w:val="24"/>
        </w:rPr>
        <w:t>26.</w:t>
      </w:r>
      <w:r w:rsidRPr="008C5887">
        <w:rPr>
          <w:rFonts w:ascii="Times New Roman" w:hAnsi="Times New Roman" w:cs="Times New Roman"/>
          <w:sz w:val="24"/>
          <w:szCs w:val="24"/>
          <w:vertAlign w:val="superscript"/>
        </w:rPr>
        <w:t xml:space="preserve"> </w:t>
      </w:r>
      <w:r w:rsidRPr="008C5887">
        <w:rPr>
          <w:rFonts w:ascii="Times New Roman" w:hAnsi="Times New Roman" w:cs="Times New Roman"/>
          <w:sz w:val="24"/>
          <w:szCs w:val="24"/>
        </w:rPr>
        <w:t xml:space="preserve">Alan Broadbent, “What We Don’t Know A modest proposal for fixing Canada’s data deficit”, </w:t>
      </w:r>
      <w:r w:rsidRPr="008C5887">
        <w:rPr>
          <w:rFonts w:ascii="Times New Roman" w:hAnsi="Times New Roman" w:cs="Times New Roman"/>
          <w:i/>
          <w:sz w:val="24"/>
          <w:szCs w:val="24"/>
        </w:rPr>
        <w:t>Literary Review of Canada</w:t>
      </w:r>
      <w:r w:rsidRPr="008C5887">
        <w:rPr>
          <w:rFonts w:ascii="Times New Roman" w:hAnsi="Times New Roman" w:cs="Times New Roman"/>
          <w:sz w:val="24"/>
          <w:szCs w:val="24"/>
        </w:rPr>
        <w:t xml:space="preserve"> 21:2 (March 2017), online: &lt; </w:t>
      </w:r>
      <w:hyperlink r:id="rId9" w:history="1">
        <w:r w:rsidRPr="008C5887">
          <w:rPr>
            <w:rStyle w:val="Hyperlink"/>
            <w:rFonts w:ascii="Times New Roman" w:hAnsi="Times New Roman" w:cs="Times New Roman"/>
            <w:sz w:val="24"/>
            <w:szCs w:val="24"/>
          </w:rPr>
          <w:t>https://reviewcanada.ca/magazine/2017/03/what-we-dont-know/</w:t>
        </w:r>
      </w:hyperlink>
      <w:r w:rsidRPr="008C5887">
        <w:rPr>
          <w:rFonts w:ascii="Times New Roman" w:hAnsi="Times New Roman" w:cs="Times New Roman"/>
          <w:sz w:val="24"/>
          <w:szCs w:val="24"/>
        </w:rPr>
        <w:t>&gt; (5 July 2018).</w:t>
      </w:r>
    </w:p>
    <w:p w:rsidR="00471A13" w:rsidRPr="008C5887" w:rsidRDefault="00471A13" w:rsidP="008C5887">
      <w:pPr>
        <w:spacing w:after="120" w:line="240" w:lineRule="auto"/>
        <w:rPr>
          <w:rFonts w:ascii="Times New Roman" w:hAnsi="Times New Roman" w:cs="Times New Roman"/>
          <w:sz w:val="24"/>
          <w:szCs w:val="24"/>
          <w:lang w:val="en-CA"/>
        </w:rPr>
      </w:pPr>
      <w:r w:rsidRPr="008C5887">
        <w:rPr>
          <w:rFonts w:ascii="Times New Roman" w:hAnsi="Times New Roman" w:cs="Times New Roman"/>
          <w:sz w:val="24"/>
          <w:szCs w:val="24"/>
        </w:rPr>
        <w:t xml:space="preserve">27. </w:t>
      </w:r>
      <w:r w:rsidRPr="008C5887">
        <w:rPr>
          <w:rFonts w:ascii="Times New Roman" w:hAnsi="Times New Roman" w:cs="Times New Roman"/>
          <w:sz w:val="24"/>
          <w:szCs w:val="24"/>
          <w:lang w:val="en-CA"/>
        </w:rPr>
        <w:t>“About CIHI”, online: &lt;</w:t>
      </w:r>
      <w:r w:rsidRPr="008C5887">
        <w:rPr>
          <w:rFonts w:ascii="Times New Roman" w:hAnsi="Times New Roman" w:cs="Times New Roman"/>
          <w:sz w:val="24"/>
          <w:szCs w:val="24"/>
        </w:rPr>
        <w:t xml:space="preserve"> </w:t>
      </w:r>
      <w:hyperlink r:id="rId10" w:history="1">
        <w:r w:rsidRPr="008C5887">
          <w:rPr>
            <w:rStyle w:val="Hyperlink"/>
            <w:rFonts w:ascii="Times New Roman" w:hAnsi="Times New Roman" w:cs="Times New Roman"/>
            <w:sz w:val="24"/>
            <w:szCs w:val="24"/>
            <w:lang w:val="en-CA"/>
          </w:rPr>
          <w:t>https://www.cihi.ca/en/about-cihi</w:t>
        </w:r>
      </w:hyperlink>
      <w:r w:rsidRPr="008C5887">
        <w:rPr>
          <w:rFonts w:ascii="Times New Roman" w:hAnsi="Times New Roman" w:cs="Times New Roman"/>
          <w:sz w:val="24"/>
          <w:szCs w:val="24"/>
          <w:lang w:val="en-CA"/>
        </w:rPr>
        <w:t>&gt; (3 July 2018).</w:t>
      </w:r>
    </w:p>
    <w:p w:rsidR="00724ABC" w:rsidRPr="008C5887" w:rsidRDefault="00471A13" w:rsidP="008C5887">
      <w:pPr>
        <w:spacing w:after="120" w:line="240" w:lineRule="auto"/>
        <w:rPr>
          <w:rFonts w:ascii="Times New Roman" w:hAnsi="Times New Roman" w:cs="Times New Roman"/>
          <w:sz w:val="24"/>
          <w:szCs w:val="24"/>
          <w:lang w:val="en-CA"/>
        </w:rPr>
      </w:pPr>
      <w:r w:rsidRPr="008C5887">
        <w:rPr>
          <w:rFonts w:ascii="Times New Roman" w:hAnsi="Times New Roman" w:cs="Times New Roman"/>
          <w:sz w:val="24"/>
          <w:szCs w:val="24"/>
          <w:lang w:val="en-CA"/>
        </w:rPr>
        <w:t xml:space="preserve">28. </w:t>
      </w:r>
      <w:r w:rsidR="004D43A0" w:rsidRPr="008C5887">
        <w:rPr>
          <w:rFonts w:ascii="Times New Roman" w:hAnsi="Times New Roman" w:cs="Times New Roman"/>
          <w:i/>
          <w:sz w:val="24"/>
          <w:szCs w:val="24"/>
        </w:rPr>
        <w:t xml:space="preserve">CIHI’s </w:t>
      </w:r>
      <w:r w:rsidR="004D43A0" w:rsidRPr="008C5887">
        <w:rPr>
          <w:rFonts w:ascii="Times New Roman" w:hAnsi="Times New Roman" w:cs="Times New Roman"/>
          <w:i/>
          <w:sz w:val="24"/>
          <w:szCs w:val="24"/>
          <w:lang w:val="en-CA"/>
        </w:rPr>
        <w:t>Annual Report 2016-2017</w:t>
      </w:r>
      <w:r w:rsidR="004D43A0" w:rsidRPr="008C5887">
        <w:rPr>
          <w:rFonts w:ascii="Times New Roman" w:hAnsi="Times New Roman" w:cs="Times New Roman"/>
          <w:sz w:val="24"/>
          <w:szCs w:val="24"/>
          <w:lang w:val="en-CA"/>
        </w:rPr>
        <w:t>, online: &lt;</w:t>
      </w:r>
      <w:r w:rsidR="004D43A0" w:rsidRPr="008C5887">
        <w:rPr>
          <w:rFonts w:ascii="Times New Roman" w:hAnsi="Times New Roman" w:cs="Times New Roman"/>
          <w:sz w:val="24"/>
          <w:szCs w:val="24"/>
        </w:rPr>
        <w:t xml:space="preserve"> </w:t>
      </w:r>
      <w:hyperlink r:id="rId11" w:history="1">
        <w:r w:rsidR="004D43A0" w:rsidRPr="008C5887">
          <w:rPr>
            <w:rStyle w:val="Hyperlink"/>
            <w:rFonts w:ascii="Times New Roman" w:hAnsi="Times New Roman" w:cs="Times New Roman"/>
            <w:sz w:val="24"/>
            <w:szCs w:val="24"/>
            <w:lang w:val="en-CA"/>
          </w:rPr>
          <w:t>https://www.cihi.ca/sites/default/files/document/cihi-annual-report-2016-2017-en-web.pdf</w:t>
        </w:r>
      </w:hyperlink>
      <w:r w:rsidR="004D43A0" w:rsidRPr="008C5887">
        <w:rPr>
          <w:rFonts w:ascii="Times New Roman" w:hAnsi="Times New Roman" w:cs="Times New Roman"/>
          <w:sz w:val="24"/>
          <w:szCs w:val="24"/>
          <w:lang w:val="en-CA"/>
        </w:rPr>
        <w:t>&gt; (4 July 2018) at 4.</w:t>
      </w:r>
    </w:p>
    <w:sectPr w:rsidR="00724ABC" w:rsidRPr="008C58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8E4" w:rsidRDefault="006158E4" w:rsidP="004D43A0">
      <w:pPr>
        <w:spacing w:after="0" w:line="240" w:lineRule="auto"/>
      </w:pPr>
      <w:r>
        <w:separator/>
      </w:r>
    </w:p>
  </w:endnote>
  <w:endnote w:type="continuationSeparator" w:id="0">
    <w:p w:rsidR="006158E4" w:rsidRDefault="006158E4" w:rsidP="004D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8E4" w:rsidRDefault="006158E4" w:rsidP="004D43A0">
      <w:pPr>
        <w:spacing w:after="0" w:line="240" w:lineRule="auto"/>
      </w:pPr>
      <w:r>
        <w:separator/>
      </w:r>
    </w:p>
  </w:footnote>
  <w:footnote w:type="continuationSeparator" w:id="0">
    <w:p w:rsidR="006158E4" w:rsidRDefault="006158E4" w:rsidP="004D43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853369"/>
    <w:multiLevelType w:val="hybridMultilevel"/>
    <w:tmpl w:val="FD6CE59A"/>
    <w:lvl w:ilvl="0" w:tplc="F99EE22A">
      <w:start w:val="1"/>
      <w:numFmt w:val="bullet"/>
      <w:lvlText w:val="•"/>
      <w:lvlJc w:val="left"/>
      <w:pPr>
        <w:tabs>
          <w:tab w:val="num" w:pos="720"/>
        </w:tabs>
        <w:ind w:left="720" w:hanging="360"/>
      </w:pPr>
      <w:rPr>
        <w:rFonts w:ascii="Arial" w:hAnsi="Arial" w:hint="default"/>
      </w:rPr>
    </w:lvl>
    <w:lvl w:ilvl="1" w:tplc="E1A4D4D2" w:tentative="1">
      <w:start w:val="1"/>
      <w:numFmt w:val="bullet"/>
      <w:lvlText w:val="•"/>
      <w:lvlJc w:val="left"/>
      <w:pPr>
        <w:tabs>
          <w:tab w:val="num" w:pos="1440"/>
        </w:tabs>
        <w:ind w:left="1440" w:hanging="360"/>
      </w:pPr>
      <w:rPr>
        <w:rFonts w:ascii="Arial" w:hAnsi="Arial" w:hint="default"/>
      </w:rPr>
    </w:lvl>
    <w:lvl w:ilvl="2" w:tplc="030E7130" w:tentative="1">
      <w:start w:val="1"/>
      <w:numFmt w:val="bullet"/>
      <w:lvlText w:val="•"/>
      <w:lvlJc w:val="left"/>
      <w:pPr>
        <w:tabs>
          <w:tab w:val="num" w:pos="2160"/>
        </w:tabs>
        <w:ind w:left="2160" w:hanging="360"/>
      </w:pPr>
      <w:rPr>
        <w:rFonts w:ascii="Arial" w:hAnsi="Arial" w:hint="default"/>
      </w:rPr>
    </w:lvl>
    <w:lvl w:ilvl="3" w:tplc="AB4ABCE6" w:tentative="1">
      <w:start w:val="1"/>
      <w:numFmt w:val="bullet"/>
      <w:lvlText w:val="•"/>
      <w:lvlJc w:val="left"/>
      <w:pPr>
        <w:tabs>
          <w:tab w:val="num" w:pos="2880"/>
        </w:tabs>
        <w:ind w:left="2880" w:hanging="360"/>
      </w:pPr>
      <w:rPr>
        <w:rFonts w:ascii="Arial" w:hAnsi="Arial" w:hint="default"/>
      </w:rPr>
    </w:lvl>
    <w:lvl w:ilvl="4" w:tplc="4B24321E" w:tentative="1">
      <w:start w:val="1"/>
      <w:numFmt w:val="bullet"/>
      <w:lvlText w:val="•"/>
      <w:lvlJc w:val="left"/>
      <w:pPr>
        <w:tabs>
          <w:tab w:val="num" w:pos="3600"/>
        </w:tabs>
        <w:ind w:left="3600" w:hanging="360"/>
      </w:pPr>
      <w:rPr>
        <w:rFonts w:ascii="Arial" w:hAnsi="Arial" w:hint="default"/>
      </w:rPr>
    </w:lvl>
    <w:lvl w:ilvl="5" w:tplc="0F360B84" w:tentative="1">
      <w:start w:val="1"/>
      <w:numFmt w:val="bullet"/>
      <w:lvlText w:val="•"/>
      <w:lvlJc w:val="left"/>
      <w:pPr>
        <w:tabs>
          <w:tab w:val="num" w:pos="4320"/>
        </w:tabs>
        <w:ind w:left="4320" w:hanging="360"/>
      </w:pPr>
      <w:rPr>
        <w:rFonts w:ascii="Arial" w:hAnsi="Arial" w:hint="default"/>
      </w:rPr>
    </w:lvl>
    <w:lvl w:ilvl="6" w:tplc="31D89ACE" w:tentative="1">
      <w:start w:val="1"/>
      <w:numFmt w:val="bullet"/>
      <w:lvlText w:val="•"/>
      <w:lvlJc w:val="left"/>
      <w:pPr>
        <w:tabs>
          <w:tab w:val="num" w:pos="5040"/>
        </w:tabs>
        <w:ind w:left="5040" w:hanging="360"/>
      </w:pPr>
      <w:rPr>
        <w:rFonts w:ascii="Arial" w:hAnsi="Arial" w:hint="default"/>
      </w:rPr>
    </w:lvl>
    <w:lvl w:ilvl="7" w:tplc="72549AC0" w:tentative="1">
      <w:start w:val="1"/>
      <w:numFmt w:val="bullet"/>
      <w:lvlText w:val="•"/>
      <w:lvlJc w:val="left"/>
      <w:pPr>
        <w:tabs>
          <w:tab w:val="num" w:pos="5760"/>
        </w:tabs>
        <w:ind w:left="5760" w:hanging="360"/>
      </w:pPr>
      <w:rPr>
        <w:rFonts w:ascii="Arial" w:hAnsi="Arial" w:hint="default"/>
      </w:rPr>
    </w:lvl>
    <w:lvl w:ilvl="8" w:tplc="4A3092B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ABC"/>
    <w:rsid w:val="000117F5"/>
    <w:rsid w:val="00014F97"/>
    <w:rsid w:val="00073073"/>
    <w:rsid w:val="00097803"/>
    <w:rsid w:val="000D31FB"/>
    <w:rsid w:val="000F4894"/>
    <w:rsid w:val="0016191D"/>
    <w:rsid w:val="00170FE1"/>
    <w:rsid w:val="00192A60"/>
    <w:rsid w:val="001D5A72"/>
    <w:rsid w:val="00241425"/>
    <w:rsid w:val="002E1F8D"/>
    <w:rsid w:val="002E5053"/>
    <w:rsid w:val="002E6343"/>
    <w:rsid w:val="003326EF"/>
    <w:rsid w:val="00350774"/>
    <w:rsid w:val="00471A13"/>
    <w:rsid w:val="00495289"/>
    <w:rsid w:val="004D43A0"/>
    <w:rsid w:val="00506068"/>
    <w:rsid w:val="0059114E"/>
    <w:rsid w:val="00610111"/>
    <w:rsid w:val="006158E4"/>
    <w:rsid w:val="00687E0F"/>
    <w:rsid w:val="00710C10"/>
    <w:rsid w:val="00724ABC"/>
    <w:rsid w:val="00781F28"/>
    <w:rsid w:val="0085333F"/>
    <w:rsid w:val="00896DD8"/>
    <w:rsid w:val="008C5887"/>
    <w:rsid w:val="008E0085"/>
    <w:rsid w:val="008E06AD"/>
    <w:rsid w:val="00904607"/>
    <w:rsid w:val="009542BB"/>
    <w:rsid w:val="00A10600"/>
    <w:rsid w:val="00AA149B"/>
    <w:rsid w:val="00B1150F"/>
    <w:rsid w:val="00B52665"/>
    <w:rsid w:val="00B714A1"/>
    <w:rsid w:val="00C00746"/>
    <w:rsid w:val="00D701D9"/>
    <w:rsid w:val="00E4609C"/>
    <w:rsid w:val="00E70651"/>
    <w:rsid w:val="00EB637F"/>
    <w:rsid w:val="00EF1AAF"/>
    <w:rsid w:val="00F30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C00B30-9979-4FA3-9020-4F2C10747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053"/>
    <w:rPr>
      <w:rFonts w:ascii="Times New Roman" w:hAnsi="Times New Roman" w:cs="Times New Roman"/>
      <w:sz w:val="24"/>
      <w:szCs w:val="24"/>
    </w:rPr>
  </w:style>
  <w:style w:type="paragraph" w:styleId="ListParagraph">
    <w:name w:val="List Paragraph"/>
    <w:basedOn w:val="Normal"/>
    <w:uiPriority w:val="34"/>
    <w:qFormat/>
    <w:rsid w:val="00241425"/>
    <w:pPr>
      <w:ind w:left="720"/>
      <w:contextualSpacing/>
    </w:pPr>
  </w:style>
  <w:style w:type="character" w:styleId="Hyperlink">
    <w:name w:val="Hyperlink"/>
    <w:basedOn w:val="DefaultParagraphFont"/>
    <w:uiPriority w:val="99"/>
    <w:unhideWhenUsed/>
    <w:rsid w:val="00506068"/>
    <w:rPr>
      <w:color w:val="0563C1" w:themeColor="hyperlink"/>
      <w:u w:val="single"/>
    </w:rPr>
  </w:style>
  <w:style w:type="paragraph" w:styleId="FootnoteText">
    <w:name w:val="footnote text"/>
    <w:basedOn w:val="Normal"/>
    <w:link w:val="FootnoteTextChar"/>
    <w:uiPriority w:val="99"/>
    <w:semiHidden/>
    <w:unhideWhenUsed/>
    <w:rsid w:val="004D43A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43A0"/>
    <w:rPr>
      <w:sz w:val="20"/>
      <w:szCs w:val="20"/>
    </w:rPr>
  </w:style>
  <w:style w:type="character" w:styleId="FootnoteReference">
    <w:name w:val="footnote reference"/>
    <w:basedOn w:val="DefaultParagraphFont"/>
    <w:uiPriority w:val="99"/>
    <w:semiHidden/>
    <w:unhideWhenUsed/>
    <w:rsid w:val="004D43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95279">
      <w:bodyDiv w:val="1"/>
      <w:marLeft w:val="0"/>
      <w:marRight w:val="0"/>
      <w:marTop w:val="0"/>
      <w:marBottom w:val="0"/>
      <w:divBdr>
        <w:top w:val="none" w:sz="0" w:space="0" w:color="auto"/>
        <w:left w:val="none" w:sz="0" w:space="0" w:color="auto"/>
        <w:bottom w:val="none" w:sz="0" w:space="0" w:color="auto"/>
        <w:right w:val="none" w:sz="0" w:space="0" w:color="auto"/>
      </w:divBdr>
    </w:div>
    <w:div w:id="109395238">
      <w:bodyDiv w:val="1"/>
      <w:marLeft w:val="0"/>
      <w:marRight w:val="0"/>
      <w:marTop w:val="0"/>
      <w:marBottom w:val="0"/>
      <w:divBdr>
        <w:top w:val="none" w:sz="0" w:space="0" w:color="auto"/>
        <w:left w:val="none" w:sz="0" w:space="0" w:color="auto"/>
        <w:bottom w:val="none" w:sz="0" w:space="0" w:color="auto"/>
        <w:right w:val="none" w:sz="0" w:space="0" w:color="auto"/>
      </w:divBdr>
    </w:div>
    <w:div w:id="305398736">
      <w:bodyDiv w:val="1"/>
      <w:marLeft w:val="0"/>
      <w:marRight w:val="0"/>
      <w:marTop w:val="0"/>
      <w:marBottom w:val="0"/>
      <w:divBdr>
        <w:top w:val="none" w:sz="0" w:space="0" w:color="auto"/>
        <w:left w:val="none" w:sz="0" w:space="0" w:color="auto"/>
        <w:bottom w:val="none" w:sz="0" w:space="0" w:color="auto"/>
        <w:right w:val="none" w:sz="0" w:space="0" w:color="auto"/>
      </w:divBdr>
    </w:div>
    <w:div w:id="512458126">
      <w:bodyDiv w:val="1"/>
      <w:marLeft w:val="0"/>
      <w:marRight w:val="0"/>
      <w:marTop w:val="0"/>
      <w:marBottom w:val="0"/>
      <w:divBdr>
        <w:top w:val="none" w:sz="0" w:space="0" w:color="auto"/>
        <w:left w:val="none" w:sz="0" w:space="0" w:color="auto"/>
        <w:bottom w:val="none" w:sz="0" w:space="0" w:color="auto"/>
        <w:right w:val="none" w:sz="0" w:space="0" w:color="auto"/>
      </w:divBdr>
    </w:div>
    <w:div w:id="870995772">
      <w:bodyDiv w:val="1"/>
      <w:marLeft w:val="0"/>
      <w:marRight w:val="0"/>
      <w:marTop w:val="0"/>
      <w:marBottom w:val="0"/>
      <w:divBdr>
        <w:top w:val="none" w:sz="0" w:space="0" w:color="auto"/>
        <w:left w:val="none" w:sz="0" w:space="0" w:color="auto"/>
        <w:bottom w:val="none" w:sz="0" w:space="0" w:color="auto"/>
        <w:right w:val="none" w:sz="0" w:space="0" w:color="auto"/>
      </w:divBdr>
      <w:divsChild>
        <w:div w:id="2025133386">
          <w:marLeft w:val="547"/>
          <w:marRight w:val="0"/>
          <w:marTop w:val="0"/>
          <w:marBottom w:val="0"/>
          <w:divBdr>
            <w:top w:val="none" w:sz="0" w:space="0" w:color="auto"/>
            <w:left w:val="none" w:sz="0" w:space="0" w:color="auto"/>
            <w:bottom w:val="none" w:sz="0" w:space="0" w:color="auto"/>
            <w:right w:val="none" w:sz="0" w:space="0" w:color="auto"/>
          </w:divBdr>
        </w:div>
      </w:divsChild>
    </w:div>
    <w:div w:id="1513253135">
      <w:bodyDiv w:val="1"/>
      <w:marLeft w:val="0"/>
      <w:marRight w:val="0"/>
      <w:marTop w:val="0"/>
      <w:marBottom w:val="0"/>
      <w:divBdr>
        <w:top w:val="none" w:sz="0" w:space="0" w:color="auto"/>
        <w:left w:val="none" w:sz="0" w:space="0" w:color="auto"/>
        <w:bottom w:val="none" w:sz="0" w:space="0" w:color="auto"/>
        <w:right w:val="none" w:sz="0" w:space="0" w:color="auto"/>
      </w:divBdr>
    </w:div>
    <w:div w:id="1555045133">
      <w:bodyDiv w:val="1"/>
      <w:marLeft w:val="0"/>
      <w:marRight w:val="0"/>
      <w:marTop w:val="0"/>
      <w:marBottom w:val="0"/>
      <w:divBdr>
        <w:top w:val="none" w:sz="0" w:space="0" w:color="auto"/>
        <w:left w:val="none" w:sz="0" w:space="0" w:color="auto"/>
        <w:bottom w:val="none" w:sz="0" w:space="0" w:color="auto"/>
        <w:right w:val="none" w:sz="0" w:space="0" w:color="auto"/>
      </w:divBdr>
    </w:div>
    <w:div w:id="1752315576">
      <w:bodyDiv w:val="1"/>
      <w:marLeft w:val="0"/>
      <w:marRight w:val="0"/>
      <w:marTop w:val="0"/>
      <w:marBottom w:val="0"/>
      <w:divBdr>
        <w:top w:val="none" w:sz="0" w:space="0" w:color="auto"/>
        <w:left w:val="none" w:sz="0" w:space="0" w:color="auto"/>
        <w:bottom w:val="none" w:sz="0" w:space="0" w:color="auto"/>
        <w:right w:val="none" w:sz="0" w:space="0" w:color="auto"/>
      </w:divBdr>
    </w:div>
    <w:div w:id="2017607261">
      <w:bodyDiv w:val="1"/>
      <w:marLeft w:val="0"/>
      <w:marRight w:val="0"/>
      <w:marTop w:val="0"/>
      <w:marBottom w:val="0"/>
      <w:divBdr>
        <w:top w:val="none" w:sz="0" w:space="0" w:color="auto"/>
        <w:left w:val="none" w:sz="0" w:space="0" w:color="auto"/>
        <w:bottom w:val="none" w:sz="0" w:space="0" w:color="auto"/>
        <w:right w:val="none" w:sz="0" w:space="0" w:color="auto"/>
      </w:divBdr>
    </w:div>
    <w:div w:id="2110272176">
      <w:bodyDiv w:val="1"/>
      <w:marLeft w:val="0"/>
      <w:marRight w:val="0"/>
      <w:marTop w:val="0"/>
      <w:marBottom w:val="0"/>
      <w:divBdr>
        <w:top w:val="none" w:sz="0" w:space="0" w:color="auto"/>
        <w:left w:val="none" w:sz="0" w:space="0" w:color="auto"/>
        <w:bottom w:val="none" w:sz="0" w:space="0" w:color="auto"/>
        <w:right w:val="none" w:sz="0" w:space="0" w:color="auto"/>
      </w:divBdr>
    </w:div>
    <w:div w:id="2112965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hi.ca/sites/default/files/document/strategicplan2016-2021-enweb.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c.gov.au/inquiries/completed/access.../access-justice-appendixc.doc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hi.ca/sites/default/files/document/cihi-annual-report-2016-2017-en-web.pdf" TargetMode="External"/><Relationship Id="rId5" Type="http://schemas.openxmlformats.org/officeDocument/2006/relationships/footnotes" Target="footnotes.xml"/><Relationship Id="rId10" Type="http://schemas.openxmlformats.org/officeDocument/2006/relationships/hyperlink" Target="https://www.cihi.ca/en/about-cihi" TargetMode="External"/><Relationship Id="rId4" Type="http://schemas.openxmlformats.org/officeDocument/2006/relationships/webSettings" Target="webSettings.xml"/><Relationship Id="rId9" Type="http://schemas.openxmlformats.org/officeDocument/2006/relationships/hyperlink" Target="https://reviewcanada.ca/magazine/2017/03/what-we-dont-kn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3</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Schaan</dc:creator>
  <cp:keywords/>
  <dc:description/>
  <cp:lastModifiedBy>Laura Schaan</cp:lastModifiedBy>
  <cp:revision>44</cp:revision>
  <dcterms:created xsi:type="dcterms:W3CDTF">2018-08-15T18:56:00Z</dcterms:created>
  <dcterms:modified xsi:type="dcterms:W3CDTF">2018-08-15T23:28:00Z</dcterms:modified>
</cp:coreProperties>
</file>